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74670" w14:textId="77777777" w:rsidR="00F422D3" w:rsidRDefault="00F422D3" w:rsidP="004D482C">
      <w:pPr>
        <w:pStyle w:val="Titul1"/>
        <w:jc w:val="both"/>
      </w:pPr>
      <w:r>
        <w:t xml:space="preserve">SMLOUVA O DÍLO </w:t>
      </w:r>
    </w:p>
    <w:p w14:paraId="1F56212A" w14:textId="0B5095EA" w:rsidR="00F422D3" w:rsidRDefault="00F422D3" w:rsidP="004D482C">
      <w:pPr>
        <w:pStyle w:val="Titul2"/>
      </w:pPr>
      <w:r>
        <w:t>Název zakázky:</w:t>
      </w:r>
      <w:r w:rsidR="003F0E62">
        <w:t xml:space="preserve"> </w:t>
      </w:r>
      <w:r>
        <w:t>„</w:t>
      </w:r>
      <w:r w:rsidR="00EE570C" w:rsidRPr="00EE570C">
        <w:t>Vypracování projektové dokumentace „Prostá rekonstrukce trati v úseku Mníšek u Liberce – Raspenava“ obnova mostních objektů</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EE570C">
        <w:rPr>
          <w:rFonts w:eastAsia="Times New Roman" w:cs="Arial"/>
          <w:snapToGrid w:val="0"/>
          <w:lang w:eastAsia="cs-CZ"/>
        </w:rPr>
        <w:t>základě pověření č. 3</w:t>
      </w:r>
      <w:r w:rsidR="00E8059D" w:rsidRPr="00EE570C">
        <w:rPr>
          <w:rFonts w:eastAsia="Times New Roman" w:cs="Arial"/>
          <w:snapToGrid w:val="0"/>
          <w:lang w:eastAsia="cs-CZ"/>
        </w:rPr>
        <w:t>430</w:t>
      </w:r>
      <w:r w:rsidR="00EB421D" w:rsidRPr="00EE570C">
        <w:rPr>
          <w:rFonts w:eastAsia="Times New Roman" w:cs="Arial"/>
          <w:snapToGrid w:val="0"/>
          <w:lang w:eastAsia="cs-CZ"/>
        </w:rPr>
        <w:t xml:space="preserve"> ze dne 1</w:t>
      </w:r>
      <w:r w:rsidR="00E8059D" w:rsidRPr="00EE570C">
        <w:rPr>
          <w:rFonts w:eastAsia="Times New Roman" w:cs="Arial"/>
          <w:snapToGrid w:val="0"/>
          <w:lang w:eastAsia="cs-CZ"/>
        </w:rPr>
        <w:t>2</w:t>
      </w:r>
      <w:r w:rsidR="00EB421D" w:rsidRPr="00EE570C">
        <w:rPr>
          <w:rFonts w:eastAsia="Times New Roman" w:cs="Arial"/>
          <w:snapToGrid w:val="0"/>
          <w:lang w:eastAsia="cs-CZ"/>
        </w:rPr>
        <w:t xml:space="preserve">. </w:t>
      </w:r>
      <w:r w:rsidR="00E8059D" w:rsidRPr="00EE570C">
        <w:rPr>
          <w:rFonts w:eastAsia="Times New Roman" w:cs="Arial"/>
          <w:snapToGrid w:val="0"/>
          <w:lang w:eastAsia="cs-CZ"/>
        </w:rPr>
        <w:t>12</w:t>
      </w:r>
      <w:r w:rsidR="00EB421D" w:rsidRPr="00EE570C">
        <w:rPr>
          <w:rFonts w:eastAsia="Times New Roman" w:cs="Arial"/>
          <w:snapToGrid w:val="0"/>
          <w:lang w:eastAsia="cs-CZ"/>
        </w:rPr>
        <w:t>. 202</w:t>
      </w:r>
      <w:r w:rsidR="00E8059D" w:rsidRPr="00EE570C">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FB3B64A" w14:textId="25464105" w:rsidR="001C2A3F" w:rsidRDefault="001C2A3F" w:rsidP="00EE570C">
      <w:pPr>
        <w:numPr>
          <w:ilvl w:val="0"/>
          <w:numId w:val="12"/>
        </w:numPr>
        <w:tabs>
          <w:tab w:val="left" w:pos="709"/>
          <w:tab w:val="left" w:pos="3544"/>
        </w:tabs>
        <w:spacing w:after="0" w:line="240" w:lineRule="auto"/>
        <w:ind w:left="1134" w:hanging="425"/>
        <w:rPr>
          <w:rFonts w:eastAsia="Times New Roman" w:cs="Arial"/>
          <w:snapToGrid w:val="0"/>
          <w:lang w:eastAsia="cs-CZ"/>
        </w:rPr>
      </w:pPr>
      <w:r w:rsidRPr="00EE570C">
        <w:rPr>
          <w:rFonts w:eastAsia="Times New Roman" w:cs="Arial"/>
          <w:snapToGrid w:val="0"/>
          <w:lang w:eastAsia="cs-CZ"/>
        </w:rPr>
        <w:t>ve věcech technických:</w:t>
      </w:r>
      <w:r w:rsidR="00566EF0" w:rsidRPr="00EE570C">
        <w:rPr>
          <w:rFonts w:eastAsia="Times New Roman" w:cs="Arial"/>
          <w:snapToGrid w:val="0"/>
          <w:lang w:eastAsia="cs-CZ"/>
        </w:rPr>
        <w:tab/>
      </w:r>
      <w:r w:rsidR="00EE570C" w:rsidRPr="00EE570C">
        <w:rPr>
          <w:rFonts w:eastAsia="Times New Roman" w:cs="Arial"/>
          <w:snapToGrid w:val="0"/>
          <w:lang w:eastAsia="cs-CZ"/>
        </w:rPr>
        <w:t>Jiří Tucauer, tel.: +420 972 341 335, e-mail: Tucauer@spravazeleznic.cz</w:t>
      </w:r>
    </w:p>
    <w:p w14:paraId="6C82E5CE" w14:textId="77777777" w:rsidR="00EE570C" w:rsidRPr="001C2A3F" w:rsidRDefault="00EE570C" w:rsidP="00EE570C">
      <w:pPr>
        <w:tabs>
          <w:tab w:val="left" w:pos="567"/>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63A1F4D4"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w:t>
      </w:r>
      <w:r w:rsidR="007D7429">
        <w:rPr>
          <w:rFonts w:eastAsia="Times New Roman" w:cs="Arial"/>
          <w:snapToGrid w:val="0"/>
          <w:lang w:eastAsia="cs-CZ"/>
        </w:rPr>
        <w:t>/8</w:t>
      </w:r>
      <w:r w:rsidR="001C2A3F" w:rsidRPr="001C2A3F">
        <w:rPr>
          <w:rFonts w:eastAsia="Times New Roman" w:cs="Arial"/>
          <w:snapToGrid w:val="0"/>
          <w:lang w:eastAsia="cs-CZ"/>
        </w:rPr>
        <w:t>, poštovní schránka 26</w:t>
      </w:r>
    </w:p>
    <w:p w14:paraId="3640D4AB" w14:textId="422FE21D"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w:t>
      </w:r>
      <w:r w:rsidR="007D7429">
        <w:rPr>
          <w:rFonts w:eastAsia="Times New Roman" w:cs="Arial"/>
          <w:snapToGrid w:val="0"/>
          <w:lang w:eastAsia="cs-CZ"/>
        </w:rPr>
        <w:t>0</w:t>
      </w:r>
      <w:r w:rsidR="001C2A3F" w:rsidRPr="001C2A3F">
        <w:rPr>
          <w:rFonts w:eastAsia="Times New Roman" w:cs="Arial"/>
          <w:snapToGrid w:val="0"/>
          <w:lang w:eastAsia="cs-CZ"/>
        </w:rPr>
        <w:t xml:space="preserve"> 0</w:t>
      </w:r>
      <w:r w:rsidR="007D7429">
        <w:rPr>
          <w:rFonts w:eastAsia="Times New Roman" w:cs="Arial"/>
          <w:snapToGrid w:val="0"/>
          <w:lang w:eastAsia="cs-CZ"/>
        </w:rPr>
        <w:t>2</w:t>
      </w:r>
      <w:r w:rsidR="001C2A3F" w:rsidRPr="001C2A3F">
        <w:rPr>
          <w:rFonts w:eastAsia="Times New Roman" w:cs="Arial"/>
          <w:snapToGrid w:val="0"/>
          <w:lang w:eastAsia="cs-CZ"/>
        </w:rPr>
        <w:t xml:space="preserve">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6F2BDF09" w:rsidR="00C63E53" w:rsidRDefault="00C63E53" w:rsidP="004D482C">
      <w:pPr>
        <w:pStyle w:val="Textbezodsazen"/>
        <w:ind w:left="567"/>
        <w:rPr>
          <w:b/>
        </w:rPr>
      </w:pPr>
      <w:r>
        <w:t>ev. č. registru VZ</w:t>
      </w:r>
      <w:r w:rsidRPr="00B42F40">
        <w:t xml:space="preserve">: </w:t>
      </w:r>
      <w:r w:rsidR="00C82FF6">
        <w:t>64025087</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3F007E8C" w14:textId="63C840D1" w:rsidR="005517CC" w:rsidRDefault="005517CC" w:rsidP="004D482C">
      <w:pPr>
        <w:pStyle w:val="Textbezodsazen"/>
        <w:ind w:left="567"/>
      </w:pPr>
      <w:r>
        <w:t>ISPROFOND:</w:t>
      </w:r>
    </w:p>
    <w:p w14:paraId="300535C5" w14:textId="4E218BF0" w:rsidR="005517CC" w:rsidRPr="005517CC" w:rsidRDefault="005517CC" w:rsidP="004D482C">
      <w:pPr>
        <w:pStyle w:val="Textbezodsazen"/>
        <w:ind w:left="567"/>
      </w:pPr>
      <w:r w:rsidRPr="005517CC">
        <w:t>5003110001/5513120026</w:t>
      </w:r>
    </w:p>
    <w:p w14:paraId="2DC4D388" w14:textId="77DC5855"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EE570C"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EE570C">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29039135"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EE570C" w:rsidRPr="00EE570C">
        <w:t>Prostá rekonstrukce trati v úseku Mníšek u Liberce – Raspenava obnova mostních objektů</w:t>
      </w:r>
      <w:r w:rsidR="00420D7C">
        <w:t>“</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w:t>
      </w:r>
      <w:proofErr w:type="gramStart"/>
      <w:r w:rsidRPr="00A02B1F">
        <w:t>EN,TNŽ</w:t>
      </w:r>
      <w:proofErr w:type="gram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lastRenderedPageBreak/>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3CA20ECD" w:rsidR="007D0186" w:rsidRPr="00324258" w:rsidRDefault="007D0186" w:rsidP="004D482C">
      <w:pPr>
        <w:pStyle w:val="Text1-1"/>
      </w:pPr>
      <w:r w:rsidRPr="00324258">
        <w:t xml:space="preserve">Název díla: </w:t>
      </w:r>
      <w:r w:rsidR="00EE570C">
        <w:t>Vypracování projektové dokumentace</w:t>
      </w:r>
      <w:r w:rsidR="00EE570C" w:rsidRPr="00657A25">
        <w:t xml:space="preserve"> „</w:t>
      </w:r>
      <w:r w:rsidR="00EE570C" w:rsidRPr="00EE570C">
        <w:t>Prostá rekonstrukce trati v úseku Mníšek u Liberce – Raspenava“ obnova mostních objektů</w:t>
      </w:r>
    </w:p>
    <w:p w14:paraId="35F362D5" w14:textId="1BD6132B"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EE570C">
        <w:rPr>
          <w:noProof/>
        </w:rPr>
        <w:t xml:space="preserve">obnovu mostních objektů trati v úseku Mníšek u Liberce </w:t>
      </w:r>
      <w:r w:rsidR="00491D06" w:rsidRPr="00EE570C">
        <w:t>–</w:t>
      </w:r>
      <w:r w:rsidR="00EE570C">
        <w:rPr>
          <w:noProof/>
        </w:rPr>
        <w:t xml:space="preserve"> Raspenava</w:t>
      </w:r>
      <w:r w:rsidR="00EE570C" w:rsidRPr="00A358EC">
        <w:rPr>
          <w:noProof/>
        </w:rPr>
        <w:t>, která</w:t>
      </w:r>
      <w:r w:rsidR="00EE570C">
        <w:rPr>
          <w:noProof/>
        </w:rPr>
        <w:t> </w:t>
      </w:r>
      <w:r w:rsidR="00EE570C" w:rsidRPr="00A358EC">
        <w:rPr>
          <w:noProof/>
        </w:rPr>
        <w:t>bude</w:t>
      </w:r>
      <w:r w:rsidR="00EE570C">
        <w:rPr>
          <w:noProof/>
        </w:rPr>
        <w:t> </w:t>
      </w:r>
      <w:r w:rsidR="00EE570C" w:rsidRPr="00A358EC">
        <w:rPr>
          <w:noProof/>
        </w:rPr>
        <w:t>spočívat v</w:t>
      </w:r>
      <w:r w:rsidR="00EE570C">
        <w:rPr>
          <w:noProof/>
        </w:rPr>
        <w:t>e výměně ocelové konstrukce s </w:t>
      </w:r>
      <w:r w:rsidR="00EE570C" w:rsidRPr="0045513F">
        <w:rPr>
          <w:noProof/>
        </w:rPr>
        <w:t>mostnicemi u</w:t>
      </w:r>
      <w:r w:rsidR="00EE570C">
        <w:rPr>
          <w:noProof/>
        </w:rPr>
        <w:t xml:space="preserve"> mostů v km 173,548 a v km 180,462, dále v opravě předportálových zdí výjezdového portálu, opravě svodnic, vyčištění podélných drenáží a vtokových šachet u tunelu v km 175,411-175,940, v přestavbě propustků na trubní železobetonové propustky v km 173,834, 174,099, 178,503 a 179,761</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Technická dokumentace</w:t>
      </w:r>
    </w:p>
    <w:p w14:paraId="3C54A08B"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Situace</w:t>
      </w:r>
    </w:p>
    <w:p w14:paraId="159FBF0D"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Podélný profil</w:t>
      </w:r>
    </w:p>
    <w:p w14:paraId="2C71254C"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Vzorové příčné řezy koleje a přejezdu</w:t>
      </w:r>
    </w:p>
    <w:p w14:paraId="0BB0AAB5"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Vytyčovací výkres</w:t>
      </w:r>
    </w:p>
    <w:p w14:paraId="139189EB"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Technologický postup výlukových prací</w:t>
      </w:r>
    </w:p>
    <w:p w14:paraId="5164BDA2" w14:textId="49C1EEA5"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Položkový soupis prací s výkazem výměr (oceněný + neoceněný)</w:t>
      </w:r>
      <w:r w:rsidR="00D95B8F" w:rsidRPr="00EE570C">
        <w:rPr>
          <w:rFonts w:asciiTheme="minorHAnsi" w:hAnsiTheme="minorHAnsi"/>
          <w:b w:val="0"/>
          <w:caps w:val="0"/>
          <w:sz w:val="18"/>
        </w:rPr>
        <w:t xml:space="preserve"> – v členění dle Směrnice SŽ SM011 </w:t>
      </w:r>
    </w:p>
    <w:p w14:paraId="20CBD1B6" w14:textId="77777777" w:rsidR="00557DDF" w:rsidRPr="00EE570C" w:rsidRDefault="00557DDF" w:rsidP="00EE570C">
      <w:pPr>
        <w:pStyle w:val="Nadpis1-1"/>
        <w:numPr>
          <w:ilvl w:val="0"/>
          <w:numId w:val="15"/>
        </w:numPr>
        <w:jc w:val="both"/>
        <w:rPr>
          <w:rFonts w:asciiTheme="minorHAnsi" w:hAnsiTheme="minorHAnsi"/>
          <w:b w:val="0"/>
          <w:caps w:val="0"/>
          <w:sz w:val="18"/>
        </w:rPr>
      </w:pPr>
      <w:r w:rsidRPr="00EE570C">
        <w:rPr>
          <w:rFonts w:asciiTheme="minorHAnsi" w:hAnsiTheme="minorHAnsi"/>
          <w:b w:val="0"/>
          <w:caps w:val="0"/>
          <w:sz w:val="18"/>
        </w:rPr>
        <w:t>Dokladová část (výpis z katastru nemovitostí, kopie katastrální mapy, příp. informací o</w:t>
      </w:r>
      <w:r w:rsidR="008B2FF7" w:rsidRPr="00EE570C">
        <w:rPr>
          <w:rFonts w:asciiTheme="minorHAnsi" w:hAnsiTheme="minorHAnsi"/>
          <w:b w:val="0"/>
          <w:caps w:val="0"/>
          <w:sz w:val="18"/>
        </w:rPr>
        <w:t> </w:t>
      </w:r>
      <w:r w:rsidRPr="00EE570C">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lastRenderedPageBreak/>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následně povinnost zapracovat připomínky či zaslat důvod </w:t>
      </w:r>
      <w:r w:rsidR="00171486">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2CB772CB"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r w:rsidR="00EE570C" w:rsidRPr="00092818">
        <w:t>1–1</w:t>
      </w:r>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lastRenderedPageBreak/>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 xml:space="preserve">itivního výsledku </w:t>
      </w:r>
      <w:r w:rsidR="00642E18">
        <w:lastRenderedPageBreak/>
        <w:t>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sidRPr="00EE570C">
        <w:rPr>
          <w:b/>
        </w:rPr>
        <w:t>60 </w:t>
      </w:r>
      <w:r w:rsidRPr="00EE570C">
        <w:rPr>
          <w:b/>
        </w:rPr>
        <w:t>měsíců</w:t>
      </w:r>
      <w:r w:rsidRPr="00EE570C">
        <w:t xml:space="preserve">, tzn. za to, že dílo a předmět projektové dokumentace bude splňovat požadavky </w:t>
      </w:r>
      <w:r w:rsidR="00642E18" w:rsidRPr="00EE570C">
        <w:t>S</w:t>
      </w:r>
      <w:r w:rsidRPr="00EE570C">
        <w:t>mlouvy</w:t>
      </w:r>
      <w:r w:rsidRPr="00482306">
        <w:t>,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3D709F51" w14:textId="4D1A1CE6" w:rsidR="00151076" w:rsidRDefault="00151076" w:rsidP="004D482C">
      <w:pPr>
        <w:pStyle w:val="Text1-1"/>
      </w:pPr>
      <w:r>
        <w:t>Ustanovení bodu 6.12 Obchodních podmínek se mění a nově zní:</w:t>
      </w:r>
    </w:p>
    <w:p w14:paraId="7A7813BC" w14:textId="6426780C" w:rsidR="00151076" w:rsidRDefault="00151076" w:rsidP="00151076">
      <w:pPr>
        <w:pStyle w:val="Text1-1"/>
        <w:numPr>
          <w:ilvl w:val="0"/>
          <w:numId w:val="0"/>
        </w:numPr>
        <w:ind w:left="737"/>
      </w:pPr>
      <w:r w:rsidRPr="00151076">
        <w:t>V případě, že daňový doklad nebude mít všechny náležitosti uvedené ve smlouvě o dílo a jejích přílohách nebo vyžadované obecně závaznými právními předpisy, je objednatel oprávněn vrátit jej zhotoviteli bez zaplacení s uvedením důvodu, pro který jej vrací. Objednatel není v tomto případě v prodlení se zaplacením. Zhotovitel se v takovém případě zavazuje bez zbytečného odkladu vystavit a objednateli doručit nový daňový doklad, v němž odstraní objednatelem uvedené vady. Oprávněným vrácením daňového dokladu zhotoviteli přestává objednateli běžet lhůta splatnosti, celá lhůta běží znovu ode dne doručení opraveného daňového dokladu</w:t>
      </w:r>
      <w:r>
        <w:t>.</w:t>
      </w:r>
    </w:p>
    <w:p w14:paraId="250C11E9" w14:textId="38B0E5D7" w:rsidR="00151076" w:rsidRDefault="00151076" w:rsidP="00151076">
      <w:pPr>
        <w:pStyle w:val="Text1-1"/>
        <w:numPr>
          <w:ilvl w:val="0"/>
          <w:numId w:val="0"/>
        </w:numPr>
        <w:ind w:left="737"/>
      </w:pPr>
      <w:r w:rsidRPr="00151076">
        <w:t xml:space="preserve">Objednatel se zavazuje na základě vystaveného daňového dokladu uhradit účtovanou část ceny za dílo do </w:t>
      </w:r>
      <w:r>
        <w:t>6</w:t>
      </w:r>
      <w:r w:rsidRPr="00151076">
        <w:t xml:space="preserve">0 dnů ode dne doručení tohoto daňového dokladu objednateli, přičemž zhotovitel souhlasí s možností dělených plateb, tj. zvlášť platby základu daně a zvlášť DPH do </w:t>
      </w:r>
      <w:r>
        <w:t>6</w:t>
      </w:r>
      <w:r w:rsidRPr="00151076">
        <w:t xml:space="preserve">0 dnů ode dne doručení daňového dokladu objednateli. Dnem úhrady je vždy den odepsání předmětné finanční částky z účtu objednatele. </w:t>
      </w:r>
    </w:p>
    <w:p w14:paraId="64EC4860" w14:textId="514D7BDC" w:rsidR="003A0A4B" w:rsidRDefault="003A0A4B" w:rsidP="00B90691">
      <w:pPr>
        <w:pStyle w:val="Text1-1"/>
        <w:spacing w:after="0"/>
      </w:pPr>
      <w:r w:rsidRPr="00C72727">
        <w:lastRenderedPageBreak/>
        <w:t xml:space="preserve">Daňové doklady (faktury) </w:t>
      </w:r>
      <w:r w:rsidRPr="00B249B4">
        <w:t xml:space="preserve">budou vystaveny v souladu </w:t>
      </w:r>
      <w:r>
        <w:rPr>
          <w:snapToGrid w:val="0"/>
        </w:rPr>
        <w:t>s veškerou národní (nebo) státní legislativou, nařízeními, vyhláškami a jinými právními předpisy a též zákony a místními vyhláškami jakéhokoliv legálně ustanoveného orgánu veřejné správy</w:t>
      </w:r>
      <w:r w:rsidRPr="00B249B4">
        <w:t>.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(https://www.spravazeleznic.cz/stavby-zakazky/podklady</w:t>
      </w:r>
      <w:r>
        <w:noBreakHyphen/>
      </w:r>
      <w:r w:rsidRPr="00B249B4">
        <w:t xml:space="preserve">pro-zhotovitele/vzor-faktury). </w:t>
      </w:r>
      <w:r w:rsidRPr="00C72727">
        <w:t>Do vzoru faktury dle předchozí věty vyplní Zhotovitel do kolonky „ISPROFIN No.:“ číslo v záhlaví Smlouvy uvedené jako „SubISPROFOND“ a kolonku „</w:t>
      </w:r>
      <w:proofErr w:type="spellStart"/>
      <w:r w:rsidRPr="00C72727">
        <w:t>Evid</w:t>
      </w:r>
      <w:proofErr w:type="spellEnd"/>
      <w:r w:rsidRPr="00C72727">
        <w:t>. č. projektu/Project No.:“ ponechá prázdnou. Na žádost Objednatele vystaví Zhotovitel</w:t>
      </w:r>
      <w:r>
        <w:t xml:space="preserve"> </w:t>
      </w:r>
      <w:r w:rsidRPr="00C72727">
        <w:t>cizojazyčnou fakturu</w:t>
      </w:r>
      <w:r>
        <w:t>.</w:t>
      </w:r>
    </w:p>
    <w:p w14:paraId="302E4922" w14:textId="019B4705" w:rsidR="003A0A4B" w:rsidRDefault="003A0A4B" w:rsidP="003A0A4B">
      <w:pPr>
        <w:pStyle w:val="Text1-1"/>
        <w:numPr>
          <w:ilvl w:val="0"/>
          <w:numId w:val="0"/>
        </w:numPr>
        <w:spacing w:after="0"/>
        <w:ind w:left="737"/>
      </w:pPr>
    </w:p>
    <w:p w14:paraId="119BFEED" w14:textId="0A2FC02E" w:rsidR="00C63B8E" w:rsidRPr="00092818" w:rsidRDefault="00C63B8E" w:rsidP="00B90691">
      <w:pPr>
        <w:pStyle w:val="Text1-1"/>
        <w:spacing w:after="0"/>
      </w:pPr>
      <w:r w:rsidRPr="00092818">
        <w:t xml:space="preserve">Na daňových dokladech je nutno uvádět jako </w:t>
      </w:r>
      <w:r w:rsidR="00642E18">
        <w:t>O</w:t>
      </w:r>
      <w:r w:rsidRPr="00092818">
        <w:t>bjednatele:</w:t>
      </w:r>
    </w:p>
    <w:p w14:paraId="288F9733" w14:textId="77777777" w:rsidR="00C63B8E" w:rsidRPr="00C63B8E" w:rsidRDefault="00C63B8E" w:rsidP="00B90691">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66DC8D04" w:rsidR="00C63B8E" w:rsidRPr="00C63B8E" w:rsidRDefault="00C63B8E" w:rsidP="004D482C">
      <w:pPr>
        <w:pStyle w:val="Zkladntext"/>
        <w:tabs>
          <w:tab w:val="left" w:pos="1134"/>
        </w:tabs>
        <w:spacing w:after="0"/>
        <w:jc w:val="both"/>
        <w:rPr>
          <w:rFonts w:cs="Arial"/>
        </w:rPr>
      </w:pPr>
      <w:r w:rsidRPr="00C63B8E">
        <w:rPr>
          <w:rFonts w:cs="Arial"/>
        </w:rPr>
        <w:tab/>
        <w:t>IČ</w:t>
      </w:r>
      <w:r w:rsidR="00491D06">
        <w:rPr>
          <w:rFonts w:cs="Arial"/>
        </w:rPr>
        <w:t>O</w:t>
      </w:r>
      <w:r w:rsidRPr="00C63B8E">
        <w:rPr>
          <w:rFonts w:cs="Arial"/>
        </w:rPr>
        <w:t>: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0C84A612"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646C85"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w:t>
      </w:r>
      <w:r w:rsidR="00646C85">
        <w:rPr>
          <w:rFonts w:eastAsia="Calibri"/>
        </w:rPr>
        <w:t xml:space="preserve"> </w:t>
      </w:r>
      <w:r w:rsidRPr="00E10866">
        <w:rPr>
          <w:rFonts w:eastAsia="Calibri"/>
        </w:rPr>
        <w:t>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w:t>
      </w:r>
      <w:r w:rsidR="00D330ED">
        <w:lastRenderedPageBreak/>
        <w:t>tato </w:t>
      </w:r>
      <w:r w:rsidR="00642E18">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5F5509CD" w14:textId="77777777" w:rsidR="00BC3ACC" w:rsidRDefault="002A43A4" w:rsidP="002A43A4">
      <w:pPr>
        <w:pStyle w:val="Text1-1"/>
      </w:pPr>
      <w:r>
        <w:rPr>
          <w:rFonts w:eastAsia="Calibri"/>
        </w:rPr>
        <w:t>Zhotovitel</w:t>
      </w:r>
      <w:r w:rsidRPr="0073792E">
        <w:t xml:space="preserve"> prohlašuje, že </w:t>
      </w:r>
    </w:p>
    <w:p w14:paraId="1F384CE0" w14:textId="77777777" w:rsidR="00BC3ACC" w:rsidRDefault="00BC3ACC" w:rsidP="00BC3ACC">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3D76F27" w14:textId="6F40D8FD" w:rsidR="00BC3ACC" w:rsidRDefault="007476A4"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BC3ACC">
        <w:t>,</w:t>
      </w:r>
    </w:p>
    <w:p w14:paraId="46F735F0" w14:textId="0E52E02D"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98453B">
        <w:t>11</w:t>
      </w:r>
      <w:r>
        <w:t xml:space="preserve">.4 této smlouvy </w:t>
      </w:r>
      <w:r w:rsidRPr="0077114C">
        <w:t>(</w:t>
      </w:r>
      <w:r>
        <w:t xml:space="preserve">dále jen </w:t>
      </w:r>
      <w:r w:rsidRPr="00B4097D">
        <w:rPr>
          <w:b/>
          <w:bCs/>
          <w:i/>
          <w:iCs/>
        </w:rPr>
        <w:t>„Sankční seznamy“</w:t>
      </w:r>
      <w:r w:rsidRPr="0098453B">
        <w:t>),</w:t>
      </w:r>
    </w:p>
    <w:p w14:paraId="009C1E39" w14:textId="77777777" w:rsidR="007F6CF0" w:rsidRPr="0029677D" w:rsidRDefault="007F6CF0" w:rsidP="007F6CF0">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w:t>
      </w:r>
      <w:r w:rsidRPr="00AD299D">
        <w:lastRenderedPageBreak/>
        <w:t xml:space="preserve">(dále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7648BD98" w14:textId="14B2DA5B" w:rsidR="007F6CF0" w:rsidRPr="0029677D" w:rsidRDefault="007F6CF0" w:rsidP="007F6CF0">
      <w:pPr>
        <w:pStyle w:val="Text1-1"/>
      </w:pPr>
      <w:r w:rsidRPr="0029677D">
        <w:t>Je-li Zhotovitelem sdružení více osob, platí podmínky dle</w:t>
      </w:r>
      <w:r>
        <w:t xml:space="preserve"> tohoto článku 11</w:t>
      </w:r>
      <w:r w:rsidRPr="0029677D">
        <w:t xml:space="preserve"> Smlouvy také jednotlivě pro všechny osoby v rámci Zhotovitele sdružené</w:t>
      </w:r>
      <w:r>
        <w:t>,</w:t>
      </w:r>
      <w:r w:rsidRPr="0029677D">
        <w:t xml:space="preserve"> a to bez ohledu na právní formu tohoto sdružení.</w:t>
      </w:r>
    </w:p>
    <w:p w14:paraId="17220A20" w14:textId="77777777" w:rsidR="007F6CF0" w:rsidRPr="0029677D" w:rsidRDefault="007F6CF0" w:rsidP="007F6CF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0E1A29" w14:textId="77777777" w:rsidR="00872C00" w:rsidRPr="0029677D" w:rsidRDefault="00872C00" w:rsidP="00872C00">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64A0423F" w14:textId="77777777" w:rsidR="00872C00" w:rsidRPr="0029677D" w:rsidRDefault="00872C00" w:rsidP="00872C0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99F823" w14:textId="211CF217" w:rsidR="00BC3ACC" w:rsidRDefault="00872C00" w:rsidP="00872C00">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w:t>
      </w:r>
      <w:proofErr w:type="gramStart"/>
      <w:r w:rsidRPr="0029677D">
        <w:t>Smlouvy..</w:t>
      </w:r>
      <w:proofErr w:type="gramEnd"/>
      <w:r w:rsidRPr="0029677D">
        <w:t xml:space="preserve">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lastRenderedPageBreak/>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lastRenderedPageBreak/>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rsidRPr="0008314F">
        <w:t>Příloha č. 2:</w:t>
      </w:r>
      <w:r w:rsidRPr="0008314F">
        <w:tab/>
        <w:t xml:space="preserve">Rozpis Ceny díla </w:t>
      </w:r>
      <w:r w:rsidR="009477C4" w:rsidRPr="0008314F">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3EAAD57" w14:textId="5D78A827" w:rsidR="00406CE9" w:rsidRPr="005C0CA7"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5E4E3D47" w14:textId="09074C4C" w:rsidR="00CB4F6D" w:rsidRPr="005C0CA7" w:rsidRDefault="00406CE9" w:rsidP="005C0CA7">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sidRPr="00994ED0">
        <w:rPr>
          <w:b/>
          <w:bCs/>
        </w:rPr>
        <w:t>Rozpis Ceny díla dle stavebních objektů</w:t>
      </w:r>
    </w:p>
    <w:p w14:paraId="2EF936D5" w14:textId="77777777" w:rsidR="00994ED0" w:rsidRPr="00E248E3" w:rsidRDefault="00994ED0" w:rsidP="00994ED0">
      <w:pPr>
        <w:pStyle w:val="Nadpisbezsl1-2"/>
        <w:rPr>
          <w:sz w:val="18"/>
        </w:rPr>
      </w:pPr>
      <w:r w:rsidRPr="00CC229C">
        <w:rPr>
          <w:sz w:val="18"/>
        </w:rPr>
        <w:t>Rozpis Ceny Díla SO 0</w:t>
      </w:r>
      <w:r>
        <w:rPr>
          <w:sz w:val="18"/>
        </w:rPr>
        <w:t>1</w:t>
      </w:r>
      <w:r w:rsidRPr="00CC229C">
        <w:rPr>
          <w:sz w:val="18"/>
        </w:rPr>
        <w:t xml:space="preserve"> </w:t>
      </w:r>
      <w:r>
        <w:rPr>
          <w:sz w:val="18"/>
        </w:rPr>
        <w:t>Most</w:t>
      </w:r>
      <w:r w:rsidRPr="00CC229C">
        <w:rPr>
          <w:sz w:val="18"/>
        </w:rPr>
        <w:t xml:space="preserve"> v km </w:t>
      </w:r>
      <w:r>
        <w:rPr>
          <w:sz w:val="18"/>
        </w:rPr>
        <w:t>173</w:t>
      </w:r>
      <w:r w:rsidRPr="00CC229C">
        <w:rPr>
          <w:sz w:val="18"/>
        </w:rPr>
        <w:t>,</w:t>
      </w:r>
      <w:r>
        <w:rPr>
          <w:sz w:val="18"/>
        </w:rPr>
        <w:t>548</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14:paraId="7B1F4FA2"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 w:type="dxa"/>
            <w:hideMark/>
          </w:tcPr>
          <w:p w14:paraId="29B95548" w14:textId="77777777" w:rsidR="00994ED0" w:rsidRDefault="00994ED0" w:rsidP="00CA4ED7">
            <w:pPr>
              <w:pStyle w:val="Tabulka"/>
              <w:rPr>
                <w:rStyle w:val="Tun"/>
                <w:sz w:val="16"/>
                <w:szCs w:val="16"/>
              </w:rPr>
            </w:pPr>
            <w:r>
              <w:rPr>
                <w:rStyle w:val="Tun"/>
                <w:sz w:val="16"/>
                <w:szCs w:val="16"/>
              </w:rPr>
              <w:t>Položka</w:t>
            </w:r>
          </w:p>
        </w:tc>
        <w:tc>
          <w:tcPr>
            <w:tcW w:w="3175" w:type="dxa"/>
            <w:hideMark/>
          </w:tcPr>
          <w:p w14:paraId="46098512" w14:textId="77777777" w:rsidR="00994ED0"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64" w:type="dxa"/>
            <w:hideMark/>
          </w:tcPr>
          <w:p w14:paraId="7642DC2D"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992" w:type="dxa"/>
            <w:hideMark/>
          </w:tcPr>
          <w:p w14:paraId="7E05A5FA"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76" w:type="dxa"/>
            <w:hideMark/>
          </w:tcPr>
          <w:p w14:paraId="39BD5CEF"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04" w:type="dxa"/>
            <w:hideMark/>
          </w:tcPr>
          <w:p w14:paraId="30A31311"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994ED0" w:rsidRPr="00994ED0" w14:paraId="54717951"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7B3EFF98" w14:textId="77777777" w:rsidR="00994ED0" w:rsidRPr="00994ED0" w:rsidRDefault="00994ED0" w:rsidP="00CA4ED7">
            <w:pPr>
              <w:pStyle w:val="Tabulka"/>
            </w:pPr>
            <w:r w:rsidRPr="00994ED0">
              <w:t>1</w:t>
            </w:r>
          </w:p>
        </w:tc>
        <w:tc>
          <w:tcPr>
            <w:tcW w:w="3175" w:type="dxa"/>
            <w:tcBorders>
              <w:top w:val="single" w:sz="2" w:space="0" w:color="auto"/>
              <w:left w:val="single" w:sz="2" w:space="0" w:color="auto"/>
              <w:bottom w:val="single" w:sz="2" w:space="0" w:color="auto"/>
              <w:right w:val="single" w:sz="2" w:space="0" w:color="auto"/>
            </w:tcBorders>
            <w:hideMark/>
          </w:tcPr>
          <w:p w14:paraId="3AE0734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Zajištění mapových podkladů</w:t>
            </w:r>
          </w:p>
        </w:tc>
        <w:tc>
          <w:tcPr>
            <w:tcW w:w="964" w:type="dxa"/>
            <w:tcBorders>
              <w:top w:val="single" w:sz="2" w:space="0" w:color="auto"/>
              <w:left w:val="single" w:sz="2" w:space="0" w:color="auto"/>
              <w:bottom w:val="single" w:sz="2" w:space="0" w:color="auto"/>
              <w:right w:val="single" w:sz="2" w:space="0" w:color="auto"/>
            </w:tcBorders>
            <w:hideMark/>
          </w:tcPr>
          <w:p w14:paraId="4FB2B3B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15A586A4"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0A2B118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314C3A9D"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50F5D12B"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204801ED" w14:textId="77777777" w:rsidR="00994ED0" w:rsidRPr="00994ED0" w:rsidRDefault="00994ED0" w:rsidP="00CA4ED7">
            <w:pPr>
              <w:pStyle w:val="Tabulka"/>
            </w:pPr>
            <w:r w:rsidRPr="00994ED0">
              <w:t>2</w:t>
            </w:r>
          </w:p>
        </w:tc>
        <w:tc>
          <w:tcPr>
            <w:tcW w:w="3175" w:type="dxa"/>
            <w:tcBorders>
              <w:top w:val="single" w:sz="2" w:space="0" w:color="auto"/>
              <w:left w:val="single" w:sz="2" w:space="0" w:color="auto"/>
              <w:bottom w:val="single" w:sz="2" w:space="0" w:color="auto"/>
              <w:right w:val="single" w:sz="2" w:space="0" w:color="auto"/>
            </w:tcBorders>
            <w:hideMark/>
          </w:tcPr>
          <w:p w14:paraId="057EB15A"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Hydrotechnické posudky</w:t>
            </w:r>
          </w:p>
        </w:tc>
        <w:tc>
          <w:tcPr>
            <w:tcW w:w="964" w:type="dxa"/>
            <w:tcBorders>
              <w:top w:val="single" w:sz="2" w:space="0" w:color="auto"/>
              <w:left w:val="single" w:sz="2" w:space="0" w:color="auto"/>
              <w:bottom w:val="single" w:sz="2" w:space="0" w:color="auto"/>
              <w:right w:val="single" w:sz="2" w:space="0" w:color="auto"/>
            </w:tcBorders>
            <w:hideMark/>
          </w:tcPr>
          <w:p w14:paraId="68666B69"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3C33914F"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215A4856"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1F95CD6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59D6D58A"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016635EB" w14:textId="77777777" w:rsidR="00994ED0" w:rsidRPr="00994ED0" w:rsidRDefault="00994ED0" w:rsidP="00CA4ED7">
            <w:pPr>
              <w:pStyle w:val="Tabulka"/>
            </w:pPr>
            <w:r w:rsidRPr="00994ED0">
              <w:t>3</w:t>
            </w:r>
          </w:p>
        </w:tc>
        <w:tc>
          <w:tcPr>
            <w:tcW w:w="3175" w:type="dxa"/>
            <w:tcBorders>
              <w:top w:val="single" w:sz="2" w:space="0" w:color="auto"/>
              <w:left w:val="single" w:sz="2" w:space="0" w:color="auto"/>
              <w:bottom w:val="single" w:sz="2" w:space="0" w:color="auto"/>
              <w:right w:val="single" w:sz="2" w:space="0" w:color="auto"/>
            </w:tcBorders>
            <w:hideMark/>
          </w:tcPr>
          <w:p w14:paraId="492F1CF0"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Textové zprávy</w:t>
            </w:r>
          </w:p>
        </w:tc>
        <w:tc>
          <w:tcPr>
            <w:tcW w:w="964" w:type="dxa"/>
            <w:tcBorders>
              <w:top w:val="single" w:sz="2" w:space="0" w:color="auto"/>
              <w:left w:val="single" w:sz="2" w:space="0" w:color="auto"/>
              <w:bottom w:val="single" w:sz="2" w:space="0" w:color="auto"/>
              <w:right w:val="single" w:sz="2" w:space="0" w:color="auto"/>
            </w:tcBorders>
            <w:hideMark/>
          </w:tcPr>
          <w:p w14:paraId="2F75EF3E"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5A67EA79"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5F9B12B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5B2948B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6343F619"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21CAF929" w14:textId="77777777" w:rsidR="00994ED0" w:rsidRPr="00994ED0" w:rsidRDefault="00994ED0" w:rsidP="00CA4ED7">
            <w:pPr>
              <w:pStyle w:val="Tabulka"/>
            </w:pPr>
            <w:r w:rsidRPr="00994ED0">
              <w:t>4</w:t>
            </w:r>
          </w:p>
        </w:tc>
        <w:tc>
          <w:tcPr>
            <w:tcW w:w="3175" w:type="dxa"/>
            <w:tcBorders>
              <w:top w:val="single" w:sz="2" w:space="0" w:color="auto"/>
              <w:left w:val="single" w:sz="2" w:space="0" w:color="auto"/>
              <w:bottom w:val="single" w:sz="2" w:space="0" w:color="auto"/>
              <w:right w:val="single" w:sz="2" w:space="0" w:color="auto"/>
            </w:tcBorders>
            <w:hideMark/>
          </w:tcPr>
          <w:p w14:paraId="02C54E3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Výkresová dokumentace</w:t>
            </w:r>
          </w:p>
        </w:tc>
        <w:tc>
          <w:tcPr>
            <w:tcW w:w="964" w:type="dxa"/>
            <w:tcBorders>
              <w:top w:val="single" w:sz="2" w:space="0" w:color="auto"/>
              <w:left w:val="single" w:sz="2" w:space="0" w:color="auto"/>
              <w:bottom w:val="single" w:sz="2" w:space="0" w:color="auto"/>
              <w:right w:val="single" w:sz="2" w:space="0" w:color="auto"/>
            </w:tcBorders>
            <w:hideMark/>
          </w:tcPr>
          <w:p w14:paraId="6655A5C2"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7EC4FC4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660E7FB0"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55456BC3"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544160EC"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41450A41" w14:textId="77777777" w:rsidR="00994ED0" w:rsidRPr="00994ED0" w:rsidRDefault="00994ED0" w:rsidP="00CA4ED7">
            <w:pPr>
              <w:pStyle w:val="Tabulka"/>
            </w:pPr>
            <w:r w:rsidRPr="00994ED0">
              <w:t>5</w:t>
            </w:r>
          </w:p>
        </w:tc>
        <w:tc>
          <w:tcPr>
            <w:tcW w:w="3175" w:type="dxa"/>
            <w:tcBorders>
              <w:top w:val="single" w:sz="2" w:space="0" w:color="auto"/>
              <w:left w:val="single" w:sz="2" w:space="0" w:color="auto"/>
              <w:bottom w:val="single" w:sz="2" w:space="0" w:color="auto"/>
              <w:right w:val="single" w:sz="2" w:space="0" w:color="auto"/>
            </w:tcBorders>
            <w:hideMark/>
          </w:tcPr>
          <w:p w14:paraId="10A72C0B"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Statické posudky</w:t>
            </w:r>
          </w:p>
        </w:tc>
        <w:tc>
          <w:tcPr>
            <w:tcW w:w="964" w:type="dxa"/>
            <w:tcBorders>
              <w:top w:val="single" w:sz="2" w:space="0" w:color="auto"/>
              <w:left w:val="single" w:sz="2" w:space="0" w:color="auto"/>
              <w:bottom w:val="single" w:sz="2" w:space="0" w:color="auto"/>
              <w:right w:val="single" w:sz="2" w:space="0" w:color="auto"/>
            </w:tcBorders>
            <w:hideMark/>
          </w:tcPr>
          <w:p w14:paraId="78515FF5"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64DB4285"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4A93E6B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27070B1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12E28194"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6B302954" w14:textId="77777777" w:rsidR="00994ED0" w:rsidRPr="00994ED0" w:rsidRDefault="00994ED0" w:rsidP="00CA4ED7">
            <w:pPr>
              <w:pStyle w:val="Tabulka"/>
            </w:pPr>
            <w:r w:rsidRPr="00994ED0">
              <w:t>6</w:t>
            </w:r>
          </w:p>
        </w:tc>
        <w:tc>
          <w:tcPr>
            <w:tcW w:w="3175" w:type="dxa"/>
            <w:tcBorders>
              <w:top w:val="single" w:sz="2" w:space="0" w:color="auto"/>
              <w:left w:val="single" w:sz="2" w:space="0" w:color="auto"/>
              <w:bottom w:val="single" w:sz="2" w:space="0" w:color="auto"/>
              <w:right w:val="single" w:sz="2" w:space="0" w:color="auto"/>
            </w:tcBorders>
            <w:hideMark/>
          </w:tcPr>
          <w:p w14:paraId="31AE756D"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Geodetická příloha</w:t>
            </w:r>
          </w:p>
        </w:tc>
        <w:tc>
          <w:tcPr>
            <w:tcW w:w="964" w:type="dxa"/>
            <w:tcBorders>
              <w:top w:val="single" w:sz="2" w:space="0" w:color="auto"/>
              <w:left w:val="single" w:sz="2" w:space="0" w:color="auto"/>
              <w:bottom w:val="single" w:sz="2" w:space="0" w:color="auto"/>
              <w:right w:val="single" w:sz="2" w:space="0" w:color="auto"/>
            </w:tcBorders>
            <w:hideMark/>
          </w:tcPr>
          <w:p w14:paraId="0CDB9E75"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605AA965"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11217F0E"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4D13FD20"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994ED0" w14:paraId="1ABDB128"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tcPr>
          <w:p w14:paraId="1691D326" w14:textId="77777777" w:rsidR="00994ED0" w:rsidRPr="00994ED0" w:rsidRDefault="00994ED0" w:rsidP="00CA4ED7">
            <w:pPr>
              <w:pStyle w:val="Tabulka"/>
            </w:pPr>
            <w:r w:rsidRPr="00994ED0">
              <w:t>7</w:t>
            </w:r>
          </w:p>
        </w:tc>
        <w:tc>
          <w:tcPr>
            <w:tcW w:w="3175" w:type="dxa"/>
            <w:tcBorders>
              <w:top w:val="single" w:sz="2" w:space="0" w:color="auto"/>
              <w:left w:val="single" w:sz="2" w:space="0" w:color="auto"/>
              <w:bottom w:val="single" w:sz="2" w:space="0" w:color="auto"/>
              <w:right w:val="single" w:sz="2" w:space="0" w:color="auto"/>
            </w:tcBorders>
          </w:tcPr>
          <w:p w14:paraId="735E1E1C"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BOZP ve fázi přípravy</w:t>
            </w:r>
          </w:p>
        </w:tc>
        <w:tc>
          <w:tcPr>
            <w:tcW w:w="964" w:type="dxa"/>
            <w:tcBorders>
              <w:top w:val="single" w:sz="2" w:space="0" w:color="auto"/>
              <w:left w:val="single" w:sz="2" w:space="0" w:color="auto"/>
              <w:bottom w:val="single" w:sz="2" w:space="0" w:color="auto"/>
              <w:right w:val="single" w:sz="2" w:space="0" w:color="auto"/>
            </w:tcBorders>
          </w:tcPr>
          <w:p w14:paraId="7CB6190C"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70EBCB61"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20E64958"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3D98673F"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5AD8475A" w14:textId="77777777" w:rsidTr="00CA4ED7">
        <w:tc>
          <w:tcPr>
            <w:cnfStyle w:val="001000000000" w:firstRow="0" w:lastRow="0" w:firstColumn="1" w:lastColumn="0" w:oddVBand="0" w:evenVBand="0" w:oddHBand="0" w:evenHBand="0" w:firstRowFirstColumn="0" w:firstRowLastColumn="0" w:lastRowFirstColumn="0" w:lastRowLastColumn="0"/>
            <w:tcW w:w="907" w:type="dxa"/>
            <w:tcBorders>
              <w:top w:val="single" w:sz="2" w:space="0" w:color="auto"/>
              <w:left w:val="nil"/>
              <w:bottom w:val="single" w:sz="2" w:space="0" w:color="auto"/>
              <w:right w:val="single" w:sz="2" w:space="0" w:color="auto"/>
            </w:tcBorders>
            <w:hideMark/>
          </w:tcPr>
          <w:p w14:paraId="7A421A21" w14:textId="77777777" w:rsidR="00994ED0" w:rsidRPr="00994ED0" w:rsidRDefault="00994ED0" w:rsidP="00CA4ED7">
            <w:pPr>
              <w:pStyle w:val="Tabulka"/>
            </w:pPr>
            <w:r w:rsidRPr="00994ED0">
              <w:t>8</w:t>
            </w:r>
          </w:p>
        </w:tc>
        <w:tc>
          <w:tcPr>
            <w:tcW w:w="3175" w:type="dxa"/>
            <w:tcBorders>
              <w:top w:val="single" w:sz="2" w:space="0" w:color="auto"/>
              <w:left w:val="single" w:sz="2" w:space="0" w:color="auto"/>
              <w:bottom w:val="single" w:sz="2" w:space="0" w:color="auto"/>
              <w:right w:val="single" w:sz="2" w:space="0" w:color="auto"/>
            </w:tcBorders>
            <w:hideMark/>
          </w:tcPr>
          <w:p w14:paraId="54F15295"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Inženýrská činnost (včetně zajištění dokumentace pro stavební povolení)</w:t>
            </w:r>
          </w:p>
        </w:tc>
        <w:tc>
          <w:tcPr>
            <w:tcW w:w="964" w:type="dxa"/>
            <w:tcBorders>
              <w:top w:val="single" w:sz="2" w:space="0" w:color="auto"/>
              <w:left w:val="single" w:sz="2" w:space="0" w:color="auto"/>
              <w:bottom w:val="single" w:sz="2" w:space="0" w:color="auto"/>
              <w:right w:val="single" w:sz="2" w:space="0" w:color="auto"/>
            </w:tcBorders>
            <w:hideMark/>
          </w:tcPr>
          <w:p w14:paraId="48F9FBDD" w14:textId="77777777" w:rsidR="00994ED0" w:rsidRP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994ED0">
              <w:t>hod</w:t>
            </w:r>
          </w:p>
        </w:tc>
        <w:tc>
          <w:tcPr>
            <w:tcW w:w="992" w:type="dxa"/>
            <w:tcBorders>
              <w:top w:val="single" w:sz="2" w:space="0" w:color="auto"/>
              <w:left w:val="single" w:sz="2" w:space="0" w:color="auto"/>
              <w:bottom w:val="single" w:sz="2" w:space="0" w:color="auto"/>
              <w:right w:val="single" w:sz="2" w:space="0" w:color="auto"/>
            </w:tcBorders>
          </w:tcPr>
          <w:p w14:paraId="3940300B"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6E7FD8E8"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single" w:sz="2" w:space="0" w:color="auto"/>
              <w:right w:val="nil"/>
            </w:tcBorders>
          </w:tcPr>
          <w:p w14:paraId="39B11DFD"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0B3B5BD3" w14:textId="77777777" w:rsidTr="00CA4ED7">
        <w:tc>
          <w:tcPr>
            <w:cnfStyle w:val="001000000000" w:firstRow="0" w:lastRow="0" w:firstColumn="1" w:lastColumn="0" w:oddVBand="0" w:evenVBand="0" w:oddHBand="0" w:evenHBand="0" w:firstRowFirstColumn="0" w:firstRowLastColumn="0" w:lastRowFirstColumn="0" w:lastRowLastColumn="0"/>
            <w:tcW w:w="3175" w:type="dxa"/>
            <w:gridSpan w:val="2"/>
            <w:tcBorders>
              <w:top w:val="single" w:sz="2" w:space="0" w:color="auto"/>
              <w:left w:val="nil"/>
              <w:bottom w:val="nil"/>
              <w:right w:val="nil"/>
            </w:tcBorders>
            <w:shd w:val="clear" w:color="auto" w:fill="D9D9D9" w:themeFill="background1" w:themeFillShade="D9"/>
            <w:hideMark/>
          </w:tcPr>
          <w:p w14:paraId="36363CBC" w14:textId="77777777" w:rsidR="00994ED0" w:rsidRPr="00540C69" w:rsidRDefault="00994ED0" w:rsidP="00CA4ED7">
            <w:pPr>
              <w:pStyle w:val="Tabulka"/>
              <w:rPr>
                <w:b/>
              </w:rPr>
            </w:pPr>
            <w:r w:rsidRPr="00540C69">
              <w:rPr>
                <w:b/>
              </w:rPr>
              <w:t>Celkem za služby:</w:t>
            </w:r>
          </w:p>
        </w:tc>
        <w:tc>
          <w:tcPr>
            <w:tcW w:w="964" w:type="dxa"/>
            <w:tcBorders>
              <w:top w:val="single" w:sz="2" w:space="0" w:color="auto"/>
              <w:left w:val="nil"/>
              <w:bottom w:val="nil"/>
              <w:right w:val="nil"/>
            </w:tcBorders>
            <w:shd w:val="clear" w:color="auto" w:fill="D9D9D9" w:themeFill="background1" w:themeFillShade="D9"/>
          </w:tcPr>
          <w:p w14:paraId="59C4C77F"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992" w:type="dxa"/>
            <w:tcBorders>
              <w:top w:val="single" w:sz="2" w:space="0" w:color="auto"/>
              <w:left w:val="nil"/>
              <w:bottom w:val="nil"/>
              <w:right w:val="nil"/>
            </w:tcBorders>
            <w:shd w:val="clear" w:color="auto" w:fill="D9D9D9" w:themeFill="background1" w:themeFillShade="D9"/>
          </w:tcPr>
          <w:p w14:paraId="6D262CC0"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nil"/>
              <w:bottom w:val="nil"/>
              <w:right w:val="single" w:sz="2" w:space="0" w:color="auto"/>
            </w:tcBorders>
            <w:shd w:val="clear" w:color="auto" w:fill="D9D9D9" w:themeFill="background1" w:themeFillShade="D9"/>
          </w:tcPr>
          <w:p w14:paraId="6C8FA4E1"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04" w:type="dxa"/>
            <w:tcBorders>
              <w:top w:val="single" w:sz="2" w:space="0" w:color="auto"/>
              <w:left w:val="single" w:sz="2" w:space="0" w:color="auto"/>
              <w:bottom w:val="nil"/>
              <w:right w:val="nil"/>
            </w:tcBorders>
            <w:shd w:val="clear" w:color="auto" w:fill="D9D9D9" w:themeFill="background1" w:themeFillShade="D9"/>
          </w:tcPr>
          <w:p w14:paraId="5DB53190" w14:textId="77777777" w:rsidR="00994ED0" w:rsidRPr="00117275"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7F3E6073" w14:textId="77777777" w:rsidR="00994ED0" w:rsidRPr="00E248E3" w:rsidRDefault="00994ED0" w:rsidP="00994ED0">
      <w:pPr>
        <w:pStyle w:val="Nadpisbezsl1-2"/>
        <w:rPr>
          <w:sz w:val="18"/>
        </w:rPr>
      </w:pPr>
      <w:r w:rsidRPr="00CC229C">
        <w:rPr>
          <w:sz w:val="18"/>
        </w:rPr>
        <w:t xml:space="preserve">Rozpis Ceny Díla SO 02 Propustek v km </w:t>
      </w:r>
      <w:r>
        <w:rPr>
          <w:sz w:val="18"/>
        </w:rPr>
        <w:t>173</w:t>
      </w:r>
      <w:r w:rsidRPr="00CC229C">
        <w:rPr>
          <w:sz w:val="18"/>
        </w:rPr>
        <w:t>,</w:t>
      </w:r>
      <w:r>
        <w:rPr>
          <w:sz w:val="18"/>
        </w:rPr>
        <w:t>834</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14:paraId="086082B7"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70721D4"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07A973D9"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0ACDF74B"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A94B936"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6921299"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3CE06A73" w14:textId="77777777" w:rsidR="00994ED0" w:rsidRPr="00C27799"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994ED0" w14:paraId="34D2988F"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9835E26"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3FBFD66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D92394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DABB07C"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E9E432A"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8836BFE"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6F1CE99C"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E338303"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6935D47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125CDC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2540344"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C0E157A"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35AD7FE"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4C52E7E9"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33B0AAB"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4B152BD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063FE2A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BE5CFD7"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A636265"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1C276C2"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1575324F"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397C42A" w14:textId="77777777" w:rsidR="00994ED0" w:rsidRPr="00CC229C" w:rsidRDefault="00994ED0" w:rsidP="00CA4ED7">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104D560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01EA0B0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AB700FD"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9ADA8C7"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630B3FA"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3FAE20AD"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17D089"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8A7F31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E24CCD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4D3ED2A"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13E24A0"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80FC2B9"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0D48ED3F"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6287527"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292306A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3FC2F1F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4C9342C"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5E3529A"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CE4B6E3"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5E2E2CD1"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1C24801" w14:textId="77777777" w:rsidR="00994ED0" w:rsidRPr="00540C69" w:rsidRDefault="00994ED0" w:rsidP="00CA4ED7">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5511817"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316205F"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2E49336" w14:textId="77777777" w:rsidR="00994ED0"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5F04906" w14:textId="77777777" w:rsidR="00994ED0" w:rsidRPr="00117275"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2C7A2C43" w14:textId="77777777" w:rsidR="00994ED0" w:rsidRPr="00CC229C" w:rsidRDefault="00994ED0" w:rsidP="00994ED0">
      <w:pPr>
        <w:pStyle w:val="Nadpisbezsl1-2"/>
        <w:rPr>
          <w:sz w:val="18"/>
        </w:rPr>
      </w:pPr>
      <w:r w:rsidRPr="00CC229C">
        <w:rPr>
          <w:sz w:val="18"/>
        </w:rPr>
        <w:t xml:space="preserve">Rozpis Ceny Díla SO 03 Propustek v km </w:t>
      </w:r>
      <w:r>
        <w:rPr>
          <w:sz w:val="18"/>
        </w:rPr>
        <w:t>174</w:t>
      </w:r>
      <w:r w:rsidRPr="00CC229C">
        <w:rPr>
          <w:sz w:val="18"/>
        </w:rPr>
        <w:t>,</w:t>
      </w:r>
      <w:r>
        <w:rPr>
          <w:sz w:val="18"/>
        </w:rPr>
        <w:t>099</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rsidRPr="00CC229C" w14:paraId="0FE773E0"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600D41D"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48D64B34"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600FEE98"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5E411BDA"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02D663D9"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75C133A7"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994ED0" w:rsidRPr="00CC229C" w14:paraId="19EE6CF5"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D5519A3"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04C5641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39CE8E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5A06C2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6627D9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B781C9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0685F1E9"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AD6B623"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4A16535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58785A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B1FEE4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303F42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B9588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55DDCDA0"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B9E3A54"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60309BA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43D1430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E04E45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CB9C3E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D9DB2B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6BF7529B"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9266757" w14:textId="77777777" w:rsidR="00994ED0" w:rsidRPr="00CC229C" w:rsidRDefault="00994ED0" w:rsidP="00CA4ED7">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115743E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BD3EF5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C90FBC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118A73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9D498D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6C8EEC4E"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A28E5A5"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5DFE9C9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BCB43A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FEF008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F366D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ABC803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3DCE85A1"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0C6CFD"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71BDFB1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2057027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505756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D75CDC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B64319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7ADB9895"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6E9584A" w14:textId="77777777" w:rsidR="00994ED0" w:rsidRPr="00CC229C" w:rsidRDefault="00994ED0" w:rsidP="00CA4ED7">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0ECF0D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CDF44E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C63875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14B251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C229C">
              <w:rPr>
                <w:b/>
              </w:rPr>
              <w:t>xxx</w:t>
            </w:r>
            <w:proofErr w:type="spellEnd"/>
          </w:p>
        </w:tc>
      </w:tr>
    </w:tbl>
    <w:p w14:paraId="55797E2B" w14:textId="77777777" w:rsidR="00994ED0" w:rsidRPr="00CC229C" w:rsidRDefault="00994ED0" w:rsidP="00994ED0">
      <w:pPr>
        <w:pStyle w:val="Nadpisbezsl1-2"/>
        <w:rPr>
          <w:sz w:val="18"/>
        </w:rPr>
      </w:pPr>
      <w:r w:rsidRPr="00CC229C">
        <w:rPr>
          <w:sz w:val="18"/>
        </w:rPr>
        <w:t xml:space="preserve">Rozpis Ceny Díla SO 04 </w:t>
      </w:r>
      <w:r>
        <w:rPr>
          <w:sz w:val="18"/>
        </w:rPr>
        <w:t>Tunel</w:t>
      </w:r>
      <w:r w:rsidRPr="00CC229C">
        <w:rPr>
          <w:sz w:val="18"/>
        </w:rPr>
        <w:t xml:space="preserve"> v km </w:t>
      </w:r>
      <w:r>
        <w:rPr>
          <w:sz w:val="18"/>
        </w:rPr>
        <w:t>175</w:t>
      </w:r>
      <w:r w:rsidRPr="00CC229C">
        <w:rPr>
          <w:sz w:val="18"/>
        </w:rPr>
        <w:t>,</w:t>
      </w:r>
      <w:r>
        <w:rPr>
          <w:sz w:val="18"/>
        </w:rPr>
        <w:t>411 – 175,940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rsidRPr="00CC229C" w14:paraId="324DC139"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0EA2325"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21530F05"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0A73FEB9"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EFFB2C3"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5279951E"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1D5A752B"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994ED0" w:rsidRPr="00CC229C" w14:paraId="10F6EB02"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FA6FF0"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01A527ED" w14:textId="7EAA23D8"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 xml:space="preserve">Zajištění mapových podkladů mostního </w:t>
            </w:r>
            <w:r w:rsidR="00E032ED" w:rsidRPr="00CC229C">
              <w:t>objektu</w:t>
            </w:r>
          </w:p>
        </w:tc>
        <w:tc>
          <w:tcPr>
            <w:tcW w:w="977" w:type="dxa"/>
            <w:tcBorders>
              <w:top w:val="single" w:sz="2" w:space="0" w:color="auto"/>
              <w:left w:val="single" w:sz="2" w:space="0" w:color="auto"/>
              <w:bottom w:val="single" w:sz="2" w:space="0" w:color="auto"/>
              <w:right w:val="single" w:sz="2" w:space="0" w:color="auto"/>
            </w:tcBorders>
            <w:hideMark/>
          </w:tcPr>
          <w:p w14:paraId="37F96B9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6A0638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21827A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3B5652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5ACE1993"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A261BF"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4F8CDB2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69C0C0F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2B85E8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60E8EB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7852AF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0CF7326E"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B8000F"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40E7094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7A5AD93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A4C856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4A57EB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BFB910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3F029E33"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2564FA0" w14:textId="77777777" w:rsidR="00994ED0" w:rsidRPr="00CC229C" w:rsidRDefault="00994ED0" w:rsidP="00CA4ED7">
            <w:pPr>
              <w:pStyle w:val="Tabulka"/>
            </w:pPr>
            <w:r w:rsidRPr="00CC229C">
              <w:lastRenderedPageBreak/>
              <w:t>4</w:t>
            </w:r>
          </w:p>
        </w:tc>
        <w:tc>
          <w:tcPr>
            <w:tcW w:w="3216" w:type="dxa"/>
            <w:tcBorders>
              <w:top w:val="single" w:sz="2" w:space="0" w:color="auto"/>
              <w:left w:val="single" w:sz="2" w:space="0" w:color="auto"/>
              <w:bottom w:val="single" w:sz="2" w:space="0" w:color="auto"/>
              <w:right w:val="single" w:sz="2" w:space="0" w:color="auto"/>
            </w:tcBorders>
            <w:hideMark/>
          </w:tcPr>
          <w:p w14:paraId="4439604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830462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EFF873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BF3A61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D37C16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67486622"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7BDCF2"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4D828A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39B4D8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7F91D5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AE847E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C1B884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7C462878"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F830BBA"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4165D58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7ABE938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C2DC3C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2BCBCA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D9F1DC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1E733ABE"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A8B77E2" w14:textId="77777777" w:rsidR="00994ED0" w:rsidRPr="00CC229C" w:rsidRDefault="00994ED0" w:rsidP="00CA4ED7">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382EF5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124DF6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E9C5E5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FDC389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C229C">
              <w:rPr>
                <w:b/>
              </w:rPr>
              <w:t>xxx</w:t>
            </w:r>
            <w:proofErr w:type="spellEnd"/>
          </w:p>
        </w:tc>
      </w:tr>
    </w:tbl>
    <w:p w14:paraId="45A14E9C" w14:textId="77777777" w:rsidR="00994ED0" w:rsidRPr="00CC229C" w:rsidRDefault="00994ED0" w:rsidP="00994ED0">
      <w:pPr>
        <w:pStyle w:val="Nadpisbezsl1-2"/>
        <w:rPr>
          <w:sz w:val="18"/>
        </w:rPr>
      </w:pPr>
      <w:r w:rsidRPr="00CC229C">
        <w:rPr>
          <w:sz w:val="18"/>
        </w:rPr>
        <w:t xml:space="preserve">Rozpis Ceny Díla SO 05 Propustek v km </w:t>
      </w:r>
      <w:r>
        <w:rPr>
          <w:sz w:val="18"/>
        </w:rPr>
        <w:t>178</w:t>
      </w:r>
      <w:r w:rsidRPr="00CC229C">
        <w:rPr>
          <w:sz w:val="18"/>
        </w:rPr>
        <w:t>,</w:t>
      </w:r>
      <w:r>
        <w:rPr>
          <w:sz w:val="18"/>
        </w:rPr>
        <w:t>503</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rsidRPr="00CC229C" w14:paraId="792DBC06"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58518A5E"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4B360DDE"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3BECFB1"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7A32B587"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066B028B"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524D43C5"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994ED0" w:rsidRPr="00CC229C" w14:paraId="07F82814"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A931BC0"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289C926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9A96AB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36F942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941D79"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F3B7B5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6BB84E31"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6264ED2"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6AABA0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2EAFCCC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94EC7A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4E2CB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815E9D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03F18AC3"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89CA863"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4CF497B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5E6DE2D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8A4EA6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9C1ABD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EA2DF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1FCAA87D"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4651941" w14:textId="77777777" w:rsidR="00994ED0" w:rsidRPr="00CC229C" w:rsidRDefault="00994ED0" w:rsidP="00CA4ED7">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1586B83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C55FB8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99E88C9"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1F269D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D39A1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74761938"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CAE983B"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1112DA9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B588D7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F37504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0F1239"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53B068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29E484EA"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1B271C0"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65C2CF0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7D8E331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34BB00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9AC19D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A6904A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26160FB4"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ECBBD6E" w14:textId="77777777" w:rsidR="00994ED0" w:rsidRPr="00CC229C" w:rsidRDefault="00994ED0" w:rsidP="00CA4ED7">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92EF62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9A73F0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029636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ED75648" w14:textId="77777777" w:rsidR="00994ED0" w:rsidRPr="00117275"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C229C">
              <w:rPr>
                <w:b/>
              </w:rPr>
              <w:t>xxx</w:t>
            </w:r>
            <w:proofErr w:type="spellEnd"/>
          </w:p>
        </w:tc>
      </w:tr>
    </w:tbl>
    <w:p w14:paraId="3765367F" w14:textId="77777777" w:rsidR="00994ED0" w:rsidRPr="00CC229C" w:rsidRDefault="00994ED0" w:rsidP="00994ED0">
      <w:pPr>
        <w:pStyle w:val="Nadpisbezsl1-2"/>
        <w:rPr>
          <w:sz w:val="18"/>
        </w:rPr>
      </w:pPr>
      <w:r w:rsidRPr="00CC229C">
        <w:rPr>
          <w:sz w:val="18"/>
        </w:rPr>
        <w:t>Rozpis Ceny Díla SO 0</w:t>
      </w:r>
      <w:r>
        <w:rPr>
          <w:sz w:val="18"/>
        </w:rPr>
        <w:t>6</w:t>
      </w:r>
      <w:r w:rsidRPr="00CC229C">
        <w:rPr>
          <w:sz w:val="18"/>
        </w:rPr>
        <w:t xml:space="preserve"> Propustek v km </w:t>
      </w:r>
      <w:r>
        <w:rPr>
          <w:sz w:val="18"/>
        </w:rPr>
        <w:t>179</w:t>
      </w:r>
      <w:r w:rsidRPr="00CC229C">
        <w:rPr>
          <w:sz w:val="18"/>
        </w:rPr>
        <w:t>,</w:t>
      </w:r>
      <w:r>
        <w:rPr>
          <w:sz w:val="18"/>
        </w:rPr>
        <w:t>761</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rsidRPr="00CC229C" w14:paraId="11D5B54A"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0E87244"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30746329"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C0CE82B"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633B661"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58E86B59"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676B1371"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994ED0" w:rsidRPr="00CC229C" w14:paraId="54279992"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988630"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4C60C30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72659A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54A366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B160C59"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7E480A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5275CF3B"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E3B6443"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782193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750EE3C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745CA2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B68E0C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1833AD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3FB5947F"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C9BE506"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53ADE1C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50BC98B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E3C82F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27A3F8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E44EF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7DCD6AA1"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40EAC45" w14:textId="77777777" w:rsidR="00994ED0" w:rsidRPr="00CC229C" w:rsidRDefault="00994ED0" w:rsidP="00CA4ED7">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31F3AEA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C7F2EF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63A1A8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1810C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C49299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3CDA3430"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80AE74"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7FB17DA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72EE7A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D7AE10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E182CE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07E6AF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21E3F7E8"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A10E098"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1484E1D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48D7C40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888F83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9A8545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9B8641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773B7237"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1AA524D" w14:textId="77777777" w:rsidR="00994ED0" w:rsidRPr="00CC229C" w:rsidRDefault="00994ED0" w:rsidP="00CA4ED7">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E2437B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E79C52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08DAEC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675FB6F" w14:textId="77777777" w:rsidR="00994ED0" w:rsidRPr="00117275"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C229C">
              <w:rPr>
                <w:b/>
              </w:rPr>
              <w:t>xxx</w:t>
            </w:r>
            <w:proofErr w:type="spellEnd"/>
          </w:p>
        </w:tc>
      </w:tr>
    </w:tbl>
    <w:p w14:paraId="3E999E38" w14:textId="77777777" w:rsidR="00994ED0" w:rsidRPr="00CC229C" w:rsidRDefault="00994ED0" w:rsidP="00994ED0">
      <w:pPr>
        <w:pStyle w:val="Nadpisbezsl1-2"/>
        <w:rPr>
          <w:sz w:val="18"/>
        </w:rPr>
      </w:pPr>
      <w:r w:rsidRPr="00CC229C">
        <w:rPr>
          <w:sz w:val="18"/>
        </w:rPr>
        <w:t>Rozpis Ceny Díla SO 0</w:t>
      </w:r>
      <w:r>
        <w:rPr>
          <w:sz w:val="18"/>
        </w:rPr>
        <w:t>7</w:t>
      </w:r>
      <w:r w:rsidRPr="00CC229C">
        <w:rPr>
          <w:sz w:val="18"/>
        </w:rPr>
        <w:t xml:space="preserve"> </w:t>
      </w:r>
      <w:r>
        <w:rPr>
          <w:sz w:val="18"/>
        </w:rPr>
        <w:t>Most</w:t>
      </w:r>
      <w:r w:rsidRPr="00CC229C">
        <w:rPr>
          <w:sz w:val="18"/>
        </w:rPr>
        <w:t xml:space="preserve"> v km </w:t>
      </w:r>
      <w:r>
        <w:rPr>
          <w:sz w:val="18"/>
        </w:rPr>
        <w:t>180</w:t>
      </w:r>
      <w:r w:rsidRPr="00CC229C">
        <w:rPr>
          <w:sz w:val="18"/>
        </w:rPr>
        <w:t>,</w:t>
      </w:r>
      <w:r>
        <w:rPr>
          <w:sz w:val="18"/>
        </w:rPr>
        <w:t>462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94ED0" w:rsidRPr="00CC229C" w14:paraId="7CF623CB" w14:textId="77777777" w:rsidTr="00CA4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6579619" w14:textId="77777777" w:rsidR="00994ED0" w:rsidRPr="00CC229C" w:rsidRDefault="00994ED0" w:rsidP="00CA4ED7">
            <w:pPr>
              <w:pStyle w:val="Tabulka"/>
              <w:rPr>
                <w:rStyle w:val="Tun"/>
                <w:sz w:val="16"/>
                <w:szCs w:val="16"/>
              </w:rPr>
            </w:pPr>
            <w:r w:rsidRPr="00CC229C">
              <w:rPr>
                <w:rStyle w:val="Tun"/>
                <w:sz w:val="16"/>
                <w:szCs w:val="16"/>
              </w:rPr>
              <w:t>Položka</w:t>
            </w:r>
          </w:p>
        </w:tc>
        <w:tc>
          <w:tcPr>
            <w:tcW w:w="3216" w:type="dxa"/>
            <w:hideMark/>
          </w:tcPr>
          <w:p w14:paraId="09260910"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13366556"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28DA4266"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583218B2"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14EA561C" w14:textId="77777777" w:rsidR="00994ED0" w:rsidRPr="00CC229C" w:rsidRDefault="00994ED0" w:rsidP="00CA4ED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994ED0" w:rsidRPr="00CC229C" w14:paraId="0E40ADDF"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C828B9" w14:textId="77777777" w:rsidR="00994ED0" w:rsidRPr="00CC229C" w:rsidRDefault="00994ED0" w:rsidP="00CA4ED7">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5ECEEBF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3403E3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2A0E1F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109637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03AE3C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434B6C8A"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5B0B6B" w14:textId="77777777" w:rsidR="00994ED0" w:rsidRPr="00CC229C" w:rsidRDefault="00994ED0" w:rsidP="00CA4ED7">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59D1E5A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64652DE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8A00EF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F6B6EE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78A64D7"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2BF8A97E"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FBB35" w14:textId="77777777" w:rsidR="00994ED0" w:rsidRPr="00CC229C" w:rsidRDefault="00994ED0" w:rsidP="00CA4ED7">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080DA84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0EFCDB2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570EFBE"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8AA0DD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E0AA79"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619353B7"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D8B0FD3" w14:textId="77777777" w:rsidR="00994ED0" w:rsidRPr="00CC229C" w:rsidRDefault="00994ED0" w:rsidP="00CA4ED7">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5AEB15A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07AB69C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60618F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2F97B00"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7F087B6"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066A3391"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FF8465" w14:textId="77777777" w:rsidR="00994ED0" w:rsidRPr="00CC229C" w:rsidRDefault="00994ED0" w:rsidP="00CA4ED7">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4870CA1"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BFC52BC"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9FEAC6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A287E13"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798182"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rsidRPr="00CC229C" w14:paraId="44D8CA01" w14:textId="77777777" w:rsidTr="00CA4ED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3490543" w14:textId="77777777" w:rsidR="00994ED0" w:rsidRPr="00CC229C" w:rsidRDefault="00994ED0" w:rsidP="00CA4ED7">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135BAF0A"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3F56C1FD"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E5CD8F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AFC04DF"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53BF25"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r>
      <w:tr w:rsidR="00994ED0" w14:paraId="03FE5AD5" w14:textId="77777777" w:rsidTr="00CA4ED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BCA60DA" w14:textId="77777777" w:rsidR="00994ED0" w:rsidRPr="00CC229C" w:rsidRDefault="00994ED0" w:rsidP="00CA4ED7">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DF278E4"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A1499AB"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35822F8" w14:textId="77777777" w:rsidR="00994ED0" w:rsidRPr="00CC229C" w:rsidRDefault="00994ED0" w:rsidP="00CA4ED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7424283" w14:textId="77777777" w:rsidR="00994ED0" w:rsidRPr="00117275" w:rsidRDefault="00994ED0" w:rsidP="00CA4ED7">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C229C">
              <w:rPr>
                <w:b/>
              </w:rPr>
              <w:t>xxx</w:t>
            </w:r>
            <w:proofErr w:type="spellEnd"/>
          </w:p>
        </w:tc>
      </w:tr>
    </w:tbl>
    <w:p w14:paraId="590709CF" w14:textId="0611706C" w:rsidR="00A37B40" w:rsidRPr="00994ED0" w:rsidRDefault="00A37B40" w:rsidP="004D482C">
      <w:pPr>
        <w:pStyle w:val="Textbezodsazen"/>
        <w:rPr>
          <w:sz w:val="10"/>
          <w:szCs w:val="10"/>
        </w:rPr>
      </w:pPr>
    </w:p>
    <w:p w14:paraId="50E5E649" w14:textId="01222287" w:rsidR="00994ED0" w:rsidRDefault="00BD2AB8" w:rsidP="00994ED0">
      <w:pPr>
        <w:pStyle w:val="Textbezslovn"/>
        <w:ind w:left="0"/>
      </w:pPr>
      <w:r w:rsidRPr="00BD2AB8">
        <w:rPr>
          <w:rStyle w:val="Tun"/>
          <w:b w:val="0"/>
          <w:bCs/>
          <w:sz w:val="16"/>
          <w:szCs w:val="16"/>
        </w:rPr>
        <w:t xml:space="preserve">*) </w:t>
      </w:r>
      <w:r w:rsidR="00994ED0">
        <w:t>Všechny ceny jsou uvedené v Kč bez DPH.</w:t>
      </w: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r>
    </w:tbl>
    <w:p w14:paraId="43EEEDED" w14:textId="77777777" w:rsidR="00A37B40" w:rsidRDefault="00A37B40"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p w14:paraId="133E605D" w14:textId="77777777" w:rsidR="0032463E" w:rsidRDefault="0032463E" w:rsidP="004D482C">
      <w:pPr>
        <w:pStyle w:val="Textbezodsazen"/>
        <w:rPr>
          <w:b/>
          <w:bCs/>
        </w:rPr>
      </w:pPr>
    </w:p>
    <w:tbl>
      <w:tblPr>
        <w:tblStyle w:val="TabulkaS-zhlav"/>
        <w:tblW w:w="0" w:type="auto"/>
        <w:tblInd w:w="142" w:type="dxa"/>
        <w:tblLook w:val="04A0" w:firstRow="1" w:lastRow="0" w:firstColumn="1" w:lastColumn="0" w:noHBand="0" w:noVBand="1"/>
      </w:tblPr>
      <w:tblGrid>
        <w:gridCol w:w="1568"/>
        <w:gridCol w:w="2607"/>
        <w:gridCol w:w="2351"/>
        <w:gridCol w:w="2034"/>
      </w:tblGrid>
      <w:tr w:rsidR="0058676C" w:rsidRPr="0017282C" w14:paraId="2A2A8ABA" w14:textId="77777777" w:rsidTr="00A55E19">
        <w:trPr>
          <w:cnfStyle w:val="100000000000" w:firstRow="1" w:lastRow="0" w:firstColumn="0" w:lastColumn="0" w:oddVBand="0" w:evenVBand="0" w:oddHBand="0" w:evenHBand="0" w:firstRowFirstColumn="0" w:firstRowLastColumn="0" w:lastRowFirstColumn="0" w:lastRowLastColumn="0"/>
        </w:trPr>
        <w:tc>
          <w:tcPr>
            <w:tcW w:w="1568" w:type="dxa"/>
          </w:tcPr>
          <w:p w14:paraId="288DFB29" w14:textId="77777777" w:rsidR="0058676C" w:rsidRPr="0017282C" w:rsidRDefault="0058676C" w:rsidP="00A55E19">
            <w:pPr>
              <w:pStyle w:val="Tabulka"/>
              <w:rPr>
                <w:rStyle w:val="Tun"/>
                <w:b/>
              </w:rPr>
            </w:pPr>
            <w:r w:rsidRPr="0017282C">
              <w:rPr>
                <w:rStyle w:val="Tun"/>
              </w:rPr>
              <w:t>Část Díla</w:t>
            </w:r>
          </w:p>
        </w:tc>
        <w:tc>
          <w:tcPr>
            <w:tcW w:w="2607" w:type="dxa"/>
          </w:tcPr>
          <w:p w14:paraId="69E91408" w14:textId="77777777" w:rsidR="0058676C" w:rsidRPr="0017282C" w:rsidRDefault="0058676C" w:rsidP="00A55E19">
            <w:pPr>
              <w:pStyle w:val="Tabulka"/>
              <w:rPr>
                <w:rStyle w:val="Tun"/>
                <w:b/>
              </w:rPr>
            </w:pPr>
            <w:r w:rsidRPr="0017282C">
              <w:rPr>
                <w:rStyle w:val="Tun"/>
              </w:rPr>
              <w:t>Doba plnění</w:t>
            </w:r>
          </w:p>
        </w:tc>
        <w:tc>
          <w:tcPr>
            <w:tcW w:w="2351" w:type="dxa"/>
          </w:tcPr>
          <w:p w14:paraId="2DB26354" w14:textId="77777777" w:rsidR="0058676C" w:rsidRPr="0017282C" w:rsidRDefault="0058676C" w:rsidP="00A55E19">
            <w:pPr>
              <w:pStyle w:val="Tabulka"/>
              <w:rPr>
                <w:rStyle w:val="Tun"/>
                <w:b/>
              </w:rPr>
            </w:pPr>
            <w:r w:rsidRPr="0017282C">
              <w:rPr>
                <w:rStyle w:val="Tun"/>
              </w:rPr>
              <w:t>Popis činností prováděných v Dílčí etapě</w:t>
            </w:r>
          </w:p>
        </w:tc>
        <w:tc>
          <w:tcPr>
            <w:tcW w:w="2034" w:type="dxa"/>
          </w:tcPr>
          <w:p w14:paraId="2F9960FD" w14:textId="77777777" w:rsidR="0058676C" w:rsidRPr="0017282C" w:rsidRDefault="0058676C" w:rsidP="00A55E19">
            <w:pPr>
              <w:pStyle w:val="Tabulka"/>
              <w:rPr>
                <w:rStyle w:val="Tun"/>
                <w:b/>
              </w:rPr>
            </w:pPr>
            <w:r w:rsidRPr="0017282C">
              <w:rPr>
                <w:rStyle w:val="Tun"/>
              </w:rPr>
              <w:t>Podmínky dokončení Dílčí etapy</w:t>
            </w:r>
          </w:p>
        </w:tc>
      </w:tr>
      <w:tr w:rsidR="0058676C" w:rsidRPr="00B72613" w14:paraId="4E3102BF" w14:textId="77777777" w:rsidTr="00A55E19">
        <w:tc>
          <w:tcPr>
            <w:tcW w:w="1568" w:type="dxa"/>
          </w:tcPr>
          <w:p w14:paraId="3D18B99E" w14:textId="77777777" w:rsidR="0058676C" w:rsidRPr="00B72613" w:rsidRDefault="0058676C" w:rsidP="00A55E19">
            <w:pPr>
              <w:pStyle w:val="Textbezodsazen"/>
              <w:rPr>
                <w:rStyle w:val="Tun"/>
              </w:rPr>
            </w:pPr>
            <w:r w:rsidRPr="00B72613">
              <w:rPr>
                <w:rStyle w:val="Tun"/>
              </w:rPr>
              <w:t>Termín zahájení prací</w:t>
            </w:r>
          </w:p>
        </w:tc>
        <w:tc>
          <w:tcPr>
            <w:tcW w:w="2607" w:type="dxa"/>
          </w:tcPr>
          <w:p w14:paraId="7895B724" w14:textId="77777777" w:rsidR="0058676C" w:rsidRPr="00B72613" w:rsidRDefault="0058676C" w:rsidP="00A55E19">
            <w:pPr>
              <w:pStyle w:val="Textbezodsazen"/>
              <w:jc w:val="left"/>
            </w:pPr>
            <w:r w:rsidRPr="00B72613">
              <w:t>ihned po nabytí účinnosti Smlouvy</w:t>
            </w:r>
          </w:p>
        </w:tc>
        <w:tc>
          <w:tcPr>
            <w:tcW w:w="2351" w:type="dxa"/>
          </w:tcPr>
          <w:p w14:paraId="229FCAA1" w14:textId="77777777" w:rsidR="0058676C" w:rsidRPr="00B72613" w:rsidRDefault="0058676C" w:rsidP="00A55E19">
            <w:pPr>
              <w:pStyle w:val="Textbezodsazen"/>
              <w:jc w:val="left"/>
            </w:pPr>
            <w:r w:rsidRPr="00B72613">
              <w:t>-</w:t>
            </w:r>
          </w:p>
        </w:tc>
        <w:tc>
          <w:tcPr>
            <w:tcW w:w="2034" w:type="dxa"/>
          </w:tcPr>
          <w:p w14:paraId="672D415A" w14:textId="77777777" w:rsidR="0058676C" w:rsidRPr="00B72613" w:rsidRDefault="0058676C" w:rsidP="00A55E19">
            <w:pPr>
              <w:pStyle w:val="Textbezodsazen"/>
              <w:jc w:val="left"/>
            </w:pPr>
            <w:r w:rsidRPr="00B72613">
              <w:t>-</w:t>
            </w:r>
          </w:p>
        </w:tc>
      </w:tr>
      <w:tr w:rsidR="0058676C" w:rsidRPr="00B72613" w14:paraId="6CBB14D7" w14:textId="77777777" w:rsidTr="00A55E19">
        <w:tc>
          <w:tcPr>
            <w:tcW w:w="1568" w:type="dxa"/>
            <w:vAlign w:val="center"/>
          </w:tcPr>
          <w:p w14:paraId="49432630" w14:textId="77777777" w:rsidR="0058676C" w:rsidRPr="00B6776F" w:rsidRDefault="0058676C" w:rsidP="00A55E19">
            <w:pPr>
              <w:pStyle w:val="Textbezodsazen"/>
              <w:rPr>
                <w:rStyle w:val="Tun"/>
              </w:rPr>
            </w:pPr>
            <w:r>
              <w:rPr>
                <w:rStyle w:val="Tun"/>
              </w:rPr>
              <w:t>1. Dílčí etapa</w:t>
            </w:r>
          </w:p>
        </w:tc>
        <w:tc>
          <w:tcPr>
            <w:tcW w:w="2607" w:type="dxa"/>
            <w:vAlign w:val="center"/>
          </w:tcPr>
          <w:p w14:paraId="301CE03F" w14:textId="77777777" w:rsidR="0058676C" w:rsidRDefault="0058676C" w:rsidP="00A55E19">
            <w:pPr>
              <w:pStyle w:val="Textbezodsazen"/>
              <w:jc w:val="left"/>
              <w:rPr>
                <w:rFonts w:eastAsia="Times New Roman" w:cs="Times New Roman"/>
                <w:szCs w:val="16"/>
                <w:highlight w:val="green"/>
              </w:rPr>
            </w:pPr>
            <w:r>
              <w:rPr>
                <w:szCs w:val="16"/>
              </w:rPr>
              <w:t>d</w:t>
            </w:r>
            <w:r w:rsidRPr="00E1340A">
              <w:rPr>
                <w:szCs w:val="16"/>
              </w:rPr>
              <w:t>o</w:t>
            </w:r>
            <w:r>
              <w:rPr>
                <w:b/>
                <w:szCs w:val="16"/>
              </w:rPr>
              <w:t xml:space="preserve"> 3</w:t>
            </w:r>
            <w:r w:rsidRPr="0031713B">
              <w:rPr>
                <w:b/>
                <w:szCs w:val="16"/>
              </w:rPr>
              <w:t xml:space="preserve"> </w:t>
            </w:r>
            <w:r>
              <w:rPr>
                <w:b/>
                <w:szCs w:val="16"/>
              </w:rPr>
              <w:t>měsíců</w:t>
            </w:r>
            <w:r w:rsidRPr="0031713B">
              <w:rPr>
                <w:szCs w:val="16"/>
              </w:rPr>
              <w:t xml:space="preserve"> </w:t>
            </w:r>
            <w:r w:rsidRPr="00416908">
              <w:rPr>
                <w:szCs w:val="16"/>
              </w:rPr>
              <w:t xml:space="preserve">od nabytí účinnosti </w:t>
            </w:r>
            <w:r>
              <w:rPr>
                <w:szCs w:val="16"/>
              </w:rPr>
              <w:t>S</w:t>
            </w:r>
            <w:r w:rsidRPr="00416908">
              <w:rPr>
                <w:szCs w:val="16"/>
              </w:rPr>
              <w:t>mlouvy</w:t>
            </w:r>
          </w:p>
        </w:tc>
        <w:tc>
          <w:tcPr>
            <w:tcW w:w="2351" w:type="dxa"/>
            <w:vAlign w:val="center"/>
          </w:tcPr>
          <w:p w14:paraId="5ED39E70" w14:textId="77777777" w:rsidR="0058676C" w:rsidRPr="00B6776F" w:rsidRDefault="0058676C" w:rsidP="00A55E19">
            <w:pPr>
              <w:pStyle w:val="Textbezodsazen"/>
              <w:jc w:val="left"/>
              <w:rPr>
                <w:highlight w:val="green"/>
              </w:rPr>
            </w:pPr>
            <w:r w:rsidRPr="00416908">
              <w:t>Návrh technického řešení DPS + PDPS</w:t>
            </w:r>
            <w:r>
              <w:t xml:space="preserve"> a jeho předání</w:t>
            </w:r>
            <w:r w:rsidRPr="00416908">
              <w:t xml:space="preserve"> k připomínkovému řízení v souladu se směrnicí SŽ SM 014</w:t>
            </w:r>
          </w:p>
        </w:tc>
        <w:tc>
          <w:tcPr>
            <w:tcW w:w="2034" w:type="dxa"/>
            <w:vAlign w:val="center"/>
          </w:tcPr>
          <w:p w14:paraId="77720873" w14:textId="77777777" w:rsidR="0058676C" w:rsidRPr="000D25B7" w:rsidRDefault="0058676C" w:rsidP="00A55E19">
            <w:pPr>
              <w:pStyle w:val="Textbezodsazen"/>
              <w:jc w:val="left"/>
            </w:pPr>
            <w:r w:rsidRPr="00416908">
              <w:t>Předávací protokol k</w:t>
            </w:r>
            <w:r>
              <w:t> 1. Dílčí</w:t>
            </w:r>
            <w:r w:rsidRPr="00416908">
              <w:t> etapě</w:t>
            </w:r>
          </w:p>
        </w:tc>
      </w:tr>
      <w:tr w:rsidR="0058676C" w:rsidRPr="00B72613" w14:paraId="0DDEF4DA" w14:textId="77777777" w:rsidTr="00A55E19">
        <w:tc>
          <w:tcPr>
            <w:tcW w:w="1568" w:type="dxa"/>
            <w:vAlign w:val="center"/>
          </w:tcPr>
          <w:p w14:paraId="601B800D" w14:textId="77777777" w:rsidR="0058676C" w:rsidRPr="00B06D17" w:rsidRDefault="0058676C" w:rsidP="00A55E19">
            <w:pPr>
              <w:pStyle w:val="Textbezodsazen"/>
              <w:rPr>
                <w:rStyle w:val="Tun"/>
                <w:highlight w:val="green"/>
              </w:rPr>
            </w:pPr>
            <w:r>
              <w:rPr>
                <w:rStyle w:val="Tun"/>
              </w:rPr>
              <w:t>2</w:t>
            </w:r>
            <w:r w:rsidRPr="00B6776F">
              <w:rPr>
                <w:rStyle w:val="Tun"/>
              </w:rPr>
              <w:t>. Dílčí etapa</w:t>
            </w:r>
          </w:p>
        </w:tc>
        <w:tc>
          <w:tcPr>
            <w:tcW w:w="2607" w:type="dxa"/>
            <w:vAlign w:val="center"/>
          </w:tcPr>
          <w:p w14:paraId="1A0C6DFB" w14:textId="77777777" w:rsidR="0058676C" w:rsidRPr="00E1340A" w:rsidRDefault="0058676C" w:rsidP="00A55E19">
            <w:pPr>
              <w:pStyle w:val="Textbezodsazen"/>
              <w:jc w:val="left"/>
            </w:pPr>
            <w:r>
              <w:rPr>
                <w:rFonts w:eastAsia="Times New Roman" w:cs="Times New Roman"/>
                <w:szCs w:val="16"/>
              </w:rPr>
              <w:t>d</w:t>
            </w:r>
            <w:r w:rsidRPr="00E1340A">
              <w:rPr>
                <w:rFonts w:eastAsia="Times New Roman" w:cs="Times New Roman"/>
                <w:szCs w:val="16"/>
              </w:rPr>
              <w:t>o</w:t>
            </w:r>
            <w:r w:rsidRPr="00E1340A">
              <w:rPr>
                <w:rFonts w:eastAsia="Times New Roman" w:cs="Times New Roman"/>
                <w:b/>
                <w:szCs w:val="16"/>
              </w:rPr>
              <w:t xml:space="preserve"> </w:t>
            </w:r>
            <w:r>
              <w:rPr>
                <w:rFonts w:eastAsia="Times New Roman" w:cs="Times New Roman"/>
                <w:b/>
                <w:szCs w:val="16"/>
              </w:rPr>
              <w:t>3</w:t>
            </w:r>
            <w:r w:rsidRPr="00E1340A">
              <w:rPr>
                <w:rFonts w:eastAsia="Times New Roman" w:cs="Times New Roman"/>
                <w:b/>
                <w:szCs w:val="16"/>
              </w:rPr>
              <w:t xml:space="preserve"> </w:t>
            </w:r>
            <w:r w:rsidRPr="00E1340A">
              <w:rPr>
                <w:b/>
              </w:rPr>
              <w:t>měsíc</w:t>
            </w:r>
            <w:r>
              <w:rPr>
                <w:b/>
              </w:rPr>
              <w:t>ů</w:t>
            </w:r>
            <w:r w:rsidRPr="00E1340A">
              <w:t xml:space="preserve"> od dokončení </w:t>
            </w:r>
            <w:r>
              <w:t>1</w:t>
            </w:r>
            <w:r w:rsidRPr="00E1340A">
              <w:t xml:space="preserve">. </w:t>
            </w:r>
            <w:r>
              <w:t xml:space="preserve">Dílčí </w:t>
            </w:r>
            <w:r w:rsidRPr="00E1340A">
              <w:t>etapy</w:t>
            </w:r>
          </w:p>
        </w:tc>
        <w:tc>
          <w:tcPr>
            <w:tcW w:w="2351" w:type="dxa"/>
            <w:vAlign w:val="center"/>
          </w:tcPr>
          <w:p w14:paraId="69E4084E" w14:textId="77777777" w:rsidR="0058676C" w:rsidRPr="00E1340A" w:rsidRDefault="0058676C" w:rsidP="00A55E19">
            <w:pPr>
              <w:pStyle w:val="Textbezodsazen"/>
              <w:jc w:val="left"/>
            </w:pPr>
            <w:r w:rsidRPr="00416908">
              <w:rPr>
                <w:szCs w:val="16"/>
              </w:rPr>
              <w:t>Projednání DPS + PDPS</w:t>
            </w:r>
            <w:r>
              <w:rPr>
                <w:szCs w:val="16"/>
              </w:rPr>
              <w:t xml:space="preserve"> a předání jejich finální verze pro stavební povolení</w:t>
            </w:r>
          </w:p>
        </w:tc>
        <w:tc>
          <w:tcPr>
            <w:tcW w:w="2034" w:type="dxa"/>
            <w:vAlign w:val="center"/>
          </w:tcPr>
          <w:p w14:paraId="6C1F752B" w14:textId="77777777" w:rsidR="0058676C" w:rsidRPr="00E1340A" w:rsidRDefault="0058676C" w:rsidP="00A55E19">
            <w:pPr>
              <w:pStyle w:val="Textbezodsazen"/>
              <w:jc w:val="left"/>
            </w:pPr>
            <w:r w:rsidRPr="00416908">
              <w:t>Předávací protokol k</w:t>
            </w:r>
            <w:r>
              <w:t xml:space="preserve"> 2. Dílčí </w:t>
            </w:r>
            <w:r w:rsidRPr="00416908">
              <w:t>etapě</w:t>
            </w:r>
          </w:p>
        </w:tc>
      </w:tr>
      <w:tr w:rsidR="0058676C" w:rsidRPr="00B72613" w14:paraId="3D8A738F" w14:textId="77777777" w:rsidTr="00A55E19">
        <w:tc>
          <w:tcPr>
            <w:tcW w:w="1568" w:type="dxa"/>
            <w:vAlign w:val="center"/>
          </w:tcPr>
          <w:p w14:paraId="3D63F6FC" w14:textId="77777777" w:rsidR="0058676C" w:rsidRPr="00B06D17" w:rsidRDefault="0058676C" w:rsidP="00A55E19">
            <w:pPr>
              <w:pStyle w:val="Textbezodsazen"/>
              <w:rPr>
                <w:rStyle w:val="Tun"/>
                <w:highlight w:val="green"/>
              </w:rPr>
            </w:pPr>
            <w:r>
              <w:rPr>
                <w:rStyle w:val="Tun"/>
              </w:rPr>
              <w:t xml:space="preserve">3. Dílčí </w:t>
            </w:r>
            <w:proofErr w:type="gramStart"/>
            <w:r>
              <w:rPr>
                <w:rStyle w:val="Tun"/>
              </w:rPr>
              <w:t>etapa - dokončení</w:t>
            </w:r>
            <w:proofErr w:type="gramEnd"/>
            <w:r>
              <w:rPr>
                <w:rStyle w:val="Tun"/>
              </w:rPr>
              <w:t xml:space="preserve"> Díla</w:t>
            </w:r>
          </w:p>
        </w:tc>
        <w:tc>
          <w:tcPr>
            <w:tcW w:w="2607" w:type="dxa"/>
            <w:vAlign w:val="center"/>
          </w:tcPr>
          <w:p w14:paraId="3F06E655" w14:textId="77777777" w:rsidR="0058676C" w:rsidRPr="00E1340A" w:rsidRDefault="0058676C" w:rsidP="00A55E19">
            <w:pPr>
              <w:pStyle w:val="Textbezodsazen"/>
              <w:jc w:val="left"/>
            </w:pPr>
            <w:r>
              <w:rPr>
                <w:rFonts w:eastAsia="Times New Roman" w:cs="Times New Roman"/>
                <w:szCs w:val="16"/>
              </w:rPr>
              <w:t>d</w:t>
            </w:r>
            <w:r w:rsidRPr="00E1340A">
              <w:rPr>
                <w:rFonts w:eastAsia="Times New Roman" w:cs="Times New Roman"/>
                <w:szCs w:val="16"/>
              </w:rPr>
              <w:t xml:space="preserve">o </w:t>
            </w:r>
            <w:r>
              <w:rPr>
                <w:rFonts w:eastAsia="Times New Roman" w:cs="Times New Roman"/>
                <w:b/>
                <w:bCs/>
                <w:szCs w:val="16"/>
              </w:rPr>
              <w:t>3</w:t>
            </w:r>
            <w:r w:rsidRPr="00E1340A">
              <w:rPr>
                <w:rFonts w:eastAsia="Times New Roman" w:cs="Times New Roman"/>
                <w:b/>
                <w:szCs w:val="16"/>
              </w:rPr>
              <w:t xml:space="preserve"> </w:t>
            </w:r>
            <w:r w:rsidRPr="00E1340A">
              <w:rPr>
                <w:b/>
              </w:rPr>
              <w:t>měsíc</w:t>
            </w:r>
            <w:r>
              <w:rPr>
                <w:b/>
              </w:rPr>
              <w:t>ů</w:t>
            </w:r>
            <w:r w:rsidRPr="00E1340A">
              <w:t xml:space="preserve"> od dokončení </w:t>
            </w:r>
            <w:r>
              <w:t>2</w:t>
            </w:r>
            <w:r w:rsidRPr="00E1340A">
              <w:t>.</w:t>
            </w:r>
            <w:r>
              <w:t xml:space="preserve"> Dílčí</w:t>
            </w:r>
            <w:r w:rsidRPr="00E1340A">
              <w:t xml:space="preserve"> etapy</w:t>
            </w:r>
          </w:p>
        </w:tc>
        <w:tc>
          <w:tcPr>
            <w:tcW w:w="2351" w:type="dxa"/>
            <w:vAlign w:val="center"/>
          </w:tcPr>
          <w:p w14:paraId="06BF1AFB" w14:textId="77777777" w:rsidR="0058676C" w:rsidRPr="004504FA" w:rsidRDefault="0058676C" w:rsidP="00A55E19">
            <w:pPr>
              <w:pStyle w:val="Textbezodsazen"/>
              <w:rPr>
                <w:highlight w:val="yellow"/>
              </w:rPr>
            </w:pPr>
            <w:r w:rsidRPr="00416908">
              <w:t>Projednání interoperability, zajištění podkladů pro vydání stavebního povolení a podání žádosti o vydání</w:t>
            </w:r>
            <w:r>
              <w:t xml:space="preserve"> stavebního povolení</w:t>
            </w:r>
            <w:r w:rsidRPr="00416908">
              <w:t xml:space="preserve"> na DESÚ</w:t>
            </w:r>
          </w:p>
        </w:tc>
        <w:tc>
          <w:tcPr>
            <w:tcW w:w="2034" w:type="dxa"/>
            <w:vAlign w:val="center"/>
          </w:tcPr>
          <w:p w14:paraId="6C7AC953" w14:textId="77777777" w:rsidR="0058676C" w:rsidRPr="00E1340A" w:rsidRDefault="0058676C" w:rsidP="00A55E19">
            <w:pPr>
              <w:pStyle w:val="Textbezodsazen"/>
              <w:jc w:val="left"/>
            </w:pPr>
            <w:r w:rsidRPr="00416908">
              <w:t>Předávací protokol</w:t>
            </w:r>
          </w:p>
        </w:tc>
      </w:tr>
    </w:tbl>
    <w:p w14:paraId="5B7AAEBA" w14:textId="77777777" w:rsidR="00EC5BE0" w:rsidRDefault="00EC5BE0"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even" r:id="rId16"/>
      <w:headerReference w:type="default" r:id="rId17"/>
      <w:footerReference w:type="default" r:id="rId18"/>
      <w:head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08BAD" w14:textId="77777777" w:rsidR="00A42521" w:rsidRDefault="00A42521" w:rsidP="00962258">
      <w:pPr>
        <w:spacing w:after="0" w:line="240" w:lineRule="auto"/>
      </w:pPr>
      <w:r>
        <w:separator/>
      </w:r>
    </w:p>
  </w:endnote>
  <w:endnote w:type="continuationSeparator" w:id="0">
    <w:p w14:paraId="5904C247" w14:textId="77777777" w:rsidR="00A42521" w:rsidRDefault="00A425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2772BC19"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19B">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C82FF6">
            <w:rPr>
              <w:b/>
              <w:noProof/>
              <w:color w:val="FF5200" w:themeColor="accent2"/>
              <w:sz w:val="14"/>
              <w:szCs w:val="14"/>
            </w:rPr>
            <w:t>11</w:t>
          </w:r>
          <w:r>
            <w:rPr>
              <w:b/>
              <w:color w:val="FF5200" w:themeColor="accent2"/>
              <w:sz w:val="14"/>
              <w:szCs w:val="14"/>
            </w:rPr>
            <w:fldChar w:fldCharType="end"/>
          </w:r>
        </w:p>
      </w:tc>
      <w:tc>
        <w:tcPr>
          <w:tcW w:w="284" w:type="dxa"/>
          <w:tcMar>
            <w:left w:w="0" w:type="dxa"/>
            <w:right w:w="0" w:type="dxa"/>
          </w:tcMar>
        </w:tcPr>
        <w:p w14:paraId="4374473D" w14:textId="77777777" w:rsidR="00F22A59" w:rsidRDefault="00F22A59" w:rsidP="00B8518B">
          <w:pPr>
            <w:pStyle w:val="Zpat"/>
          </w:pPr>
        </w:p>
      </w:tc>
      <w:tc>
        <w:tcPr>
          <w:tcW w:w="425" w:type="dxa"/>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7BBA7AD6" w:rsidR="00F22A59" w:rsidRDefault="00EE570C" w:rsidP="00F422D3">
          <w:pPr>
            <w:pStyle w:val="Zpat0"/>
          </w:pPr>
          <w:r w:rsidRPr="00EE570C">
            <w:rPr>
              <w:sz w:val="14"/>
            </w:rPr>
            <w:t>Vypracování projektové dokumentace „Prostá rekonstrukce trati v úseku Mníšek u Liberce – Raspenava obnova mostních objektů</w:t>
          </w:r>
          <w:r w:rsidR="00420D7C">
            <w:rPr>
              <w:sz w:val="14"/>
            </w:rPr>
            <w:t>“</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tcMar>
            <w:left w:w="0" w:type="dxa"/>
            <w:right w:w="0" w:type="dxa"/>
          </w:tcMar>
        </w:tcPr>
        <w:p w14:paraId="379472D3" w14:textId="77777777" w:rsidR="00F22A59" w:rsidRDefault="00F22A59" w:rsidP="00566EF0">
          <w:pPr>
            <w:pStyle w:val="Zpat"/>
          </w:pPr>
        </w:p>
      </w:tc>
      <w:tc>
        <w:tcPr>
          <w:tcW w:w="425" w:type="dxa"/>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02930047" w:rsidR="00F22A59" w:rsidRDefault="00735F09" w:rsidP="00566EF0">
          <w:pPr>
            <w:pStyle w:val="Zpat0"/>
          </w:pPr>
          <w:r w:rsidRPr="00EE570C">
            <w:rPr>
              <w:sz w:val="14"/>
            </w:rPr>
            <w:t>Vypracování projektové dokumentace „Prostá rekonstrukce trati v úseku Mníšek u Liberce – Raspenava“ obnova mostních objektů</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AB2A9" w14:textId="77777777" w:rsidR="00A42521" w:rsidRDefault="00A42521" w:rsidP="00962258">
      <w:pPr>
        <w:spacing w:after="0" w:line="240" w:lineRule="auto"/>
      </w:pPr>
      <w:r>
        <w:separator/>
      </w:r>
    </w:p>
  </w:footnote>
  <w:footnote w:type="continuationSeparator" w:id="0">
    <w:p w14:paraId="4132417D" w14:textId="77777777" w:rsidR="00A42521" w:rsidRDefault="00A425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65BF96D9" w:rsidR="00F22A59" w:rsidRPr="00B8518B" w:rsidRDefault="00F22A59" w:rsidP="00523EA7">
          <w:pPr>
            <w:pStyle w:val="Zpat"/>
            <w:rPr>
              <w:rStyle w:val="slostrnky"/>
            </w:rPr>
          </w:pPr>
        </w:p>
      </w:tc>
      <w:tc>
        <w:tcPr>
          <w:tcW w:w="3458" w:type="dxa"/>
          <w:tcMar>
            <w:top w:w="57" w:type="dxa"/>
            <w:left w:w="0" w:type="dxa"/>
            <w:right w:w="0" w:type="dxa"/>
          </w:tcMar>
        </w:tcPr>
        <w:p w14:paraId="1B6CA00C" w14:textId="77777777" w:rsidR="00F22A59" w:rsidRDefault="00F22A59" w:rsidP="00523EA7">
          <w:pPr>
            <w:pStyle w:val="Zpat"/>
          </w:pPr>
        </w:p>
      </w:tc>
      <w:tc>
        <w:tcPr>
          <w:tcW w:w="5698" w:type="dxa"/>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2C44C829" w:rsidR="00F22A59" w:rsidRPr="00B8518B" w:rsidRDefault="00F22A59" w:rsidP="00FC6389">
          <w:pPr>
            <w:pStyle w:val="Zpat"/>
            <w:rPr>
              <w:rStyle w:val="slostrnky"/>
            </w:rPr>
          </w:pPr>
        </w:p>
      </w:tc>
      <w:tc>
        <w:tcPr>
          <w:tcW w:w="3458" w:type="dxa"/>
          <w:tcMar>
            <w:left w:w="0" w:type="dxa"/>
            <w:right w:w="0" w:type="dxa"/>
          </w:tcMar>
        </w:tcPr>
        <w:p w14:paraId="6A678968" w14:textId="20B4913B" w:rsidR="00F22A59" w:rsidRDefault="00F22A59" w:rsidP="00FC6389">
          <w:pPr>
            <w:pStyle w:val="Zpat"/>
          </w:pPr>
        </w:p>
      </w:tc>
      <w:tc>
        <w:tcPr>
          <w:tcW w:w="5756" w:type="dxa"/>
          <w:tcMar>
            <w:left w:w="0" w:type="dxa"/>
            <w:right w:w="0" w:type="dxa"/>
          </w:tcMar>
        </w:tcPr>
        <w:p w14:paraId="210F53A5" w14:textId="4A344638" w:rsidR="00F22A59" w:rsidRPr="00D6163D" w:rsidRDefault="00016A41" w:rsidP="00FC6389">
          <w:pPr>
            <w:pStyle w:val="Druhdokumentu"/>
          </w:pPr>
          <w:r w:rsidRPr="004C7962">
            <w:rPr>
              <w:noProof/>
              <w:lang w:eastAsia="cs-CZ"/>
            </w:rPr>
            <w:drawing>
              <wp:anchor distT="0" distB="0" distL="114300" distR="114300" simplePos="0" relativeHeight="251671552" behindDoc="1" locked="0" layoutInCell="1" allowOverlap="1" wp14:anchorId="09D5BC61" wp14:editId="6AA5633C">
                <wp:simplePos x="0" y="0"/>
                <wp:positionH relativeFrom="column">
                  <wp:posOffset>0</wp:posOffset>
                </wp:positionH>
                <wp:positionV relativeFrom="paragraph">
                  <wp:posOffset>1905</wp:posOffset>
                </wp:positionV>
                <wp:extent cx="1573530" cy="906145"/>
                <wp:effectExtent l="0" t="0" r="7620" b="8255"/>
                <wp:wrapThrough wrapText="bothSides">
                  <wp:wrapPolygon edited="0">
                    <wp:start x="0" y="0"/>
                    <wp:lineTo x="0" y="21343"/>
                    <wp:lineTo x="21443" y="21343"/>
                    <wp:lineTo x="21443" y="0"/>
                    <wp:lineTo x="0" y="0"/>
                  </wp:wrapPolygon>
                </wp:wrapThrough>
                <wp:docPr id="2107367247" name="Obrázek 21073672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73530" cy="906145"/>
                        </a:xfrm>
                        <a:prstGeom prst="rect">
                          <a:avLst/>
                        </a:prstGeom>
                        <a:noFill/>
                        <a:ln>
                          <a:noFill/>
                        </a:ln>
                      </pic:spPr>
                    </pic:pic>
                  </a:graphicData>
                </a:graphic>
              </wp:anchor>
            </w:drawing>
          </w: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tcMar>
            <w:left w:w="0" w:type="dxa"/>
            <w:right w:w="0" w:type="dxa"/>
          </w:tcMar>
        </w:tcPr>
        <w:p w14:paraId="050C2EA8" w14:textId="40779262" w:rsidR="00F22A59" w:rsidRDefault="00F22A59" w:rsidP="00FC6389">
          <w:pPr>
            <w:pStyle w:val="Zpat"/>
          </w:pPr>
        </w:p>
      </w:tc>
      <w:tc>
        <w:tcPr>
          <w:tcW w:w="5756" w:type="dxa"/>
          <w:tcMar>
            <w:left w:w="0" w:type="dxa"/>
            <w:right w:w="0" w:type="dxa"/>
          </w:tcMar>
        </w:tcPr>
        <w:p w14:paraId="3F668845" w14:textId="311A97B4"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AE8A" w14:textId="2975EE54" w:rsidR="007476A4" w:rsidRDefault="007476A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27F2D22E" w:rsidR="00F22A59" w:rsidRPr="00B8518B" w:rsidRDefault="00F22A59" w:rsidP="00523EA7">
          <w:pPr>
            <w:pStyle w:val="Zpat"/>
            <w:rPr>
              <w:rStyle w:val="slostrnky"/>
            </w:rPr>
          </w:pPr>
        </w:p>
      </w:tc>
      <w:tc>
        <w:tcPr>
          <w:tcW w:w="3458" w:type="dxa"/>
          <w:tcMar>
            <w:top w:w="57" w:type="dxa"/>
            <w:left w:w="0" w:type="dxa"/>
            <w:right w:w="0" w:type="dxa"/>
          </w:tcMar>
        </w:tcPr>
        <w:p w14:paraId="32BAD14A" w14:textId="77777777" w:rsidR="00F22A59" w:rsidRDefault="00F22A59" w:rsidP="00523EA7">
          <w:pPr>
            <w:pStyle w:val="Zpat"/>
          </w:pPr>
        </w:p>
      </w:tc>
      <w:tc>
        <w:tcPr>
          <w:tcW w:w="5698" w:type="dxa"/>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7B316" w14:textId="3E74F549" w:rsidR="007476A4" w:rsidRDefault="007476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76200A"/>
    <w:multiLevelType w:val="multilevel"/>
    <w:tmpl w:val="066A7922"/>
    <w:lvl w:ilvl="0">
      <w:start w:val="1"/>
      <w:numFmt w:val="decimal"/>
      <w:lvlText w:val="2.%1."/>
      <w:lvlJc w:val="left"/>
      <w:pPr>
        <w:ind w:left="360" w:hanging="360"/>
      </w:pPr>
      <w:rPr>
        <w:rFonts w:ascii="Arial CE" w:hAnsi="Arial CE" w:cs="Times New Roman"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asciiTheme="minorHAnsi" w:hAnsiTheme="minorHAnsi" w:hint="default"/>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5176994">
    <w:abstractNumId w:val="4"/>
  </w:num>
  <w:num w:numId="2" w16cid:durableId="1766994436">
    <w:abstractNumId w:val="1"/>
  </w:num>
  <w:num w:numId="3" w16cid:durableId="854922017">
    <w:abstractNumId w:val="15"/>
  </w:num>
  <w:num w:numId="4" w16cid:durableId="2071804833">
    <w:abstractNumId w:val="7"/>
  </w:num>
  <w:num w:numId="5" w16cid:durableId="1156461456">
    <w:abstractNumId w:val="0"/>
  </w:num>
  <w:num w:numId="6" w16cid:durableId="788864682">
    <w:abstractNumId w:val="8"/>
  </w:num>
  <w:num w:numId="7" w16cid:durableId="1778940234">
    <w:abstractNumId w:val="11"/>
  </w:num>
  <w:num w:numId="8" w16cid:durableId="191382764">
    <w:abstractNumId w:val="12"/>
  </w:num>
  <w:num w:numId="9" w16cid:durableId="975450812">
    <w:abstractNumId w:val="3"/>
  </w:num>
  <w:num w:numId="10" w16cid:durableId="331760713">
    <w:abstractNumId w:val="16"/>
  </w:num>
  <w:num w:numId="11" w16cid:durableId="84495309">
    <w:abstractNumId w:val="9"/>
  </w:num>
  <w:num w:numId="12" w16cid:durableId="1523670445">
    <w:abstractNumId w:val="14"/>
  </w:num>
  <w:num w:numId="13" w16cid:durableId="1117872015">
    <w:abstractNumId w:val="2"/>
  </w:num>
  <w:num w:numId="14" w16cid:durableId="165941681">
    <w:abstractNumId w:val="5"/>
  </w:num>
  <w:num w:numId="15" w16cid:durableId="1778023233">
    <w:abstractNumId w:val="6"/>
  </w:num>
  <w:num w:numId="16" w16cid:durableId="1995258040">
    <w:abstractNumId w:val="10"/>
  </w:num>
  <w:num w:numId="17" w16cid:durableId="84963962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6A41"/>
    <w:rsid w:val="00017F3C"/>
    <w:rsid w:val="0002749F"/>
    <w:rsid w:val="00030145"/>
    <w:rsid w:val="00030AF0"/>
    <w:rsid w:val="00040E2B"/>
    <w:rsid w:val="00041EC8"/>
    <w:rsid w:val="00043C69"/>
    <w:rsid w:val="0004467E"/>
    <w:rsid w:val="00046BD1"/>
    <w:rsid w:val="00056BB3"/>
    <w:rsid w:val="00062483"/>
    <w:rsid w:val="0006588D"/>
    <w:rsid w:val="00067A5E"/>
    <w:rsid w:val="000719BB"/>
    <w:rsid w:val="00072A65"/>
    <w:rsid w:val="00072C1E"/>
    <w:rsid w:val="0008314F"/>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1076"/>
    <w:rsid w:val="001533EA"/>
    <w:rsid w:val="001656A2"/>
    <w:rsid w:val="00165977"/>
    <w:rsid w:val="00170EC5"/>
    <w:rsid w:val="00171486"/>
    <w:rsid w:val="001747C1"/>
    <w:rsid w:val="00177D6B"/>
    <w:rsid w:val="00177DD4"/>
    <w:rsid w:val="001913F8"/>
    <w:rsid w:val="00191F90"/>
    <w:rsid w:val="001A7DBB"/>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2DEE"/>
    <w:rsid w:val="002F32A9"/>
    <w:rsid w:val="002F4333"/>
    <w:rsid w:val="003225EE"/>
    <w:rsid w:val="0032463E"/>
    <w:rsid w:val="00327EEF"/>
    <w:rsid w:val="00331D39"/>
    <w:rsid w:val="0033239F"/>
    <w:rsid w:val="003358FF"/>
    <w:rsid w:val="0034274B"/>
    <w:rsid w:val="00345F01"/>
    <w:rsid w:val="0034719F"/>
    <w:rsid w:val="0035064E"/>
    <w:rsid w:val="00350A35"/>
    <w:rsid w:val="00355CB8"/>
    <w:rsid w:val="003571D8"/>
    <w:rsid w:val="00357BC6"/>
    <w:rsid w:val="00360B34"/>
    <w:rsid w:val="00361422"/>
    <w:rsid w:val="0037545D"/>
    <w:rsid w:val="00381EFC"/>
    <w:rsid w:val="00384BD5"/>
    <w:rsid w:val="00385359"/>
    <w:rsid w:val="00386966"/>
    <w:rsid w:val="00392910"/>
    <w:rsid w:val="00392EB6"/>
    <w:rsid w:val="003943D3"/>
    <w:rsid w:val="00394FF4"/>
    <w:rsid w:val="00395432"/>
    <w:rsid w:val="003956C6"/>
    <w:rsid w:val="003A0A4B"/>
    <w:rsid w:val="003A197F"/>
    <w:rsid w:val="003A2DF0"/>
    <w:rsid w:val="003B2E15"/>
    <w:rsid w:val="003C33F2"/>
    <w:rsid w:val="003C3608"/>
    <w:rsid w:val="003D756E"/>
    <w:rsid w:val="003E07CB"/>
    <w:rsid w:val="003E2046"/>
    <w:rsid w:val="003E420D"/>
    <w:rsid w:val="003E4C13"/>
    <w:rsid w:val="003F0E62"/>
    <w:rsid w:val="003F2D4F"/>
    <w:rsid w:val="004053C8"/>
    <w:rsid w:val="00406CE9"/>
    <w:rsid w:val="004078F3"/>
    <w:rsid w:val="004112D1"/>
    <w:rsid w:val="00413914"/>
    <w:rsid w:val="00420B82"/>
    <w:rsid w:val="00420D7C"/>
    <w:rsid w:val="00426E96"/>
    <w:rsid w:val="00427794"/>
    <w:rsid w:val="00431B10"/>
    <w:rsid w:val="004408BD"/>
    <w:rsid w:val="0044423F"/>
    <w:rsid w:val="00450F07"/>
    <w:rsid w:val="00453966"/>
    <w:rsid w:val="00453CD3"/>
    <w:rsid w:val="0046002F"/>
    <w:rsid w:val="00460660"/>
    <w:rsid w:val="00464BA9"/>
    <w:rsid w:val="004818C3"/>
    <w:rsid w:val="00482306"/>
    <w:rsid w:val="00483969"/>
    <w:rsid w:val="00485CE8"/>
    <w:rsid w:val="00486107"/>
    <w:rsid w:val="00491827"/>
    <w:rsid w:val="00491D06"/>
    <w:rsid w:val="004A5646"/>
    <w:rsid w:val="004A7152"/>
    <w:rsid w:val="004C4399"/>
    <w:rsid w:val="004C47D6"/>
    <w:rsid w:val="004C5D1C"/>
    <w:rsid w:val="004C787C"/>
    <w:rsid w:val="004D09FB"/>
    <w:rsid w:val="004D482C"/>
    <w:rsid w:val="004E7A1F"/>
    <w:rsid w:val="004F0BC9"/>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17CC"/>
    <w:rsid w:val="00553375"/>
    <w:rsid w:val="00554117"/>
    <w:rsid w:val="00555884"/>
    <w:rsid w:val="00557DDF"/>
    <w:rsid w:val="00566EF0"/>
    <w:rsid w:val="005736B7"/>
    <w:rsid w:val="00575E5A"/>
    <w:rsid w:val="00580245"/>
    <w:rsid w:val="00583A18"/>
    <w:rsid w:val="0058676C"/>
    <w:rsid w:val="00596502"/>
    <w:rsid w:val="005A1F44"/>
    <w:rsid w:val="005B5ACA"/>
    <w:rsid w:val="005C0CA7"/>
    <w:rsid w:val="005C11C2"/>
    <w:rsid w:val="005D3C39"/>
    <w:rsid w:val="005E30BE"/>
    <w:rsid w:val="005F0CB2"/>
    <w:rsid w:val="005F5080"/>
    <w:rsid w:val="00601A8C"/>
    <w:rsid w:val="00605E12"/>
    <w:rsid w:val="0061068E"/>
    <w:rsid w:val="006115D3"/>
    <w:rsid w:val="00624262"/>
    <w:rsid w:val="00630948"/>
    <w:rsid w:val="00635446"/>
    <w:rsid w:val="006379CF"/>
    <w:rsid w:val="00642E18"/>
    <w:rsid w:val="00646C85"/>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37E"/>
    <w:rsid w:val="00723ED1"/>
    <w:rsid w:val="007259B4"/>
    <w:rsid w:val="007301D3"/>
    <w:rsid w:val="00731EF9"/>
    <w:rsid w:val="0073583F"/>
    <w:rsid w:val="00735F09"/>
    <w:rsid w:val="00740AF5"/>
    <w:rsid w:val="00743525"/>
    <w:rsid w:val="00744076"/>
    <w:rsid w:val="007476A4"/>
    <w:rsid w:val="007541A2"/>
    <w:rsid w:val="00755818"/>
    <w:rsid w:val="007616C2"/>
    <w:rsid w:val="0076286B"/>
    <w:rsid w:val="00766846"/>
    <w:rsid w:val="0077673A"/>
    <w:rsid w:val="007846E1"/>
    <w:rsid w:val="007847D6"/>
    <w:rsid w:val="00787FE9"/>
    <w:rsid w:val="007A5172"/>
    <w:rsid w:val="007A67A0"/>
    <w:rsid w:val="007A6E42"/>
    <w:rsid w:val="007A7344"/>
    <w:rsid w:val="007B3F34"/>
    <w:rsid w:val="007B570C"/>
    <w:rsid w:val="007B7269"/>
    <w:rsid w:val="007D0186"/>
    <w:rsid w:val="007D51F3"/>
    <w:rsid w:val="007D5D19"/>
    <w:rsid w:val="007D7429"/>
    <w:rsid w:val="007E447E"/>
    <w:rsid w:val="007E4A6E"/>
    <w:rsid w:val="007E4E7B"/>
    <w:rsid w:val="007F56A7"/>
    <w:rsid w:val="007F6CF0"/>
    <w:rsid w:val="00800851"/>
    <w:rsid w:val="008015C6"/>
    <w:rsid w:val="00807DD0"/>
    <w:rsid w:val="00815359"/>
    <w:rsid w:val="00821D01"/>
    <w:rsid w:val="00823CA4"/>
    <w:rsid w:val="00826B7B"/>
    <w:rsid w:val="0083038D"/>
    <w:rsid w:val="0083573F"/>
    <w:rsid w:val="00846789"/>
    <w:rsid w:val="008500BE"/>
    <w:rsid w:val="008537E0"/>
    <w:rsid w:val="00854869"/>
    <w:rsid w:val="00855710"/>
    <w:rsid w:val="00866994"/>
    <w:rsid w:val="00872C00"/>
    <w:rsid w:val="00881A03"/>
    <w:rsid w:val="00891465"/>
    <w:rsid w:val="00894ECE"/>
    <w:rsid w:val="008A3568"/>
    <w:rsid w:val="008B075C"/>
    <w:rsid w:val="008B2FF7"/>
    <w:rsid w:val="008B61F6"/>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53B"/>
    <w:rsid w:val="00984906"/>
    <w:rsid w:val="00992D9C"/>
    <w:rsid w:val="00994ED0"/>
    <w:rsid w:val="009952E5"/>
    <w:rsid w:val="00996CB8"/>
    <w:rsid w:val="009A0905"/>
    <w:rsid w:val="009A3323"/>
    <w:rsid w:val="009B0111"/>
    <w:rsid w:val="009B2E97"/>
    <w:rsid w:val="009B4201"/>
    <w:rsid w:val="009B5146"/>
    <w:rsid w:val="009B54E2"/>
    <w:rsid w:val="009C418E"/>
    <w:rsid w:val="009C442C"/>
    <w:rsid w:val="009E07F4"/>
    <w:rsid w:val="009E1790"/>
    <w:rsid w:val="009E5A01"/>
    <w:rsid w:val="009F0867"/>
    <w:rsid w:val="009F309B"/>
    <w:rsid w:val="009F392E"/>
    <w:rsid w:val="009F53C5"/>
    <w:rsid w:val="009F638B"/>
    <w:rsid w:val="00A0740E"/>
    <w:rsid w:val="00A11838"/>
    <w:rsid w:val="00A209AF"/>
    <w:rsid w:val="00A21A01"/>
    <w:rsid w:val="00A37B40"/>
    <w:rsid w:val="00A4222A"/>
    <w:rsid w:val="00A42521"/>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107B"/>
    <w:rsid w:val="00AD34E6"/>
    <w:rsid w:val="00AD5F1A"/>
    <w:rsid w:val="00AD6731"/>
    <w:rsid w:val="00AE39F5"/>
    <w:rsid w:val="00AF1F07"/>
    <w:rsid w:val="00AF429D"/>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57CFE"/>
    <w:rsid w:val="00B61444"/>
    <w:rsid w:val="00B65939"/>
    <w:rsid w:val="00B757BF"/>
    <w:rsid w:val="00B75EE1"/>
    <w:rsid w:val="00B77481"/>
    <w:rsid w:val="00B8518B"/>
    <w:rsid w:val="00B9055B"/>
    <w:rsid w:val="00B90691"/>
    <w:rsid w:val="00B91BA2"/>
    <w:rsid w:val="00B955DF"/>
    <w:rsid w:val="00B97CC3"/>
    <w:rsid w:val="00BA6B83"/>
    <w:rsid w:val="00BC06C4"/>
    <w:rsid w:val="00BC3ACC"/>
    <w:rsid w:val="00BC75F1"/>
    <w:rsid w:val="00BD2AB8"/>
    <w:rsid w:val="00BD4220"/>
    <w:rsid w:val="00BD7E91"/>
    <w:rsid w:val="00BD7F0D"/>
    <w:rsid w:val="00BF0A90"/>
    <w:rsid w:val="00BF1819"/>
    <w:rsid w:val="00C02D0A"/>
    <w:rsid w:val="00C03A6E"/>
    <w:rsid w:val="00C044F4"/>
    <w:rsid w:val="00C11E78"/>
    <w:rsid w:val="00C152D5"/>
    <w:rsid w:val="00C178D0"/>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2FF6"/>
    <w:rsid w:val="00C84A44"/>
    <w:rsid w:val="00C95162"/>
    <w:rsid w:val="00CB02B4"/>
    <w:rsid w:val="00CB4F6D"/>
    <w:rsid w:val="00CB6A37"/>
    <w:rsid w:val="00CB7684"/>
    <w:rsid w:val="00CC7C8F"/>
    <w:rsid w:val="00CD1FC4"/>
    <w:rsid w:val="00CD316B"/>
    <w:rsid w:val="00CD5967"/>
    <w:rsid w:val="00CD7022"/>
    <w:rsid w:val="00D0197E"/>
    <w:rsid w:val="00D034A0"/>
    <w:rsid w:val="00D035C7"/>
    <w:rsid w:val="00D06BD0"/>
    <w:rsid w:val="00D21061"/>
    <w:rsid w:val="00D21E49"/>
    <w:rsid w:val="00D232F4"/>
    <w:rsid w:val="00D25295"/>
    <w:rsid w:val="00D32554"/>
    <w:rsid w:val="00D330ED"/>
    <w:rsid w:val="00D4108E"/>
    <w:rsid w:val="00D418B1"/>
    <w:rsid w:val="00D4328E"/>
    <w:rsid w:val="00D51AAD"/>
    <w:rsid w:val="00D604B7"/>
    <w:rsid w:val="00D6163D"/>
    <w:rsid w:val="00D61B70"/>
    <w:rsid w:val="00D6239F"/>
    <w:rsid w:val="00D62AAB"/>
    <w:rsid w:val="00D6460C"/>
    <w:rsid w:val="00D72C1C"/>
    <w:rsid w:val="00D831A3"/>
    <w:rsid w:val="00D84FB3"/>
    <w:rsid w:val="00D90E82"/>
    <w:rsid w:val="00D95B8F"/>
    <w:rsid w:val="00D97BE3"/>
    <w:rsid w:val="00DA2A68"/>
    <w:rsid w:val="00DA3711"/>
    <w:rsid w:val="00DA3765"/>
    <w:rsid w:val="00DD3E11"/>
    <w:rsid w:val="00DD46F3"/>
    <w:rsid w:val="00DD514B"/>
    <w:rsid w:val="00DE56F2"/>
    <w:rsid w:val="00DF116D"/>
    <w:rsid w:val="00DF7033"/>
    <w:rsid w:val="00E032ED"/>
    <w:rsid w:val="00E033DB"/>
    <w:rsid w:val="00E04266"/>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059D"/>
    <w:rsid w:val="00E83BC3"/>
    <w:rsid w:val="00E87509"/>
    <w:rsid w:val="00E878EE"/>
    <w:rsid w:val="00E901A3"/>
    <w:rsid w:val="00E956EE"/>
    <w:rsid w:val="00EA1E76"/>
    <w:rsid w:val="00EA585B"/>
    <w:rsid w:val="00EA6EC7"/>
    <w:rsid w:val="00EB07E5"/>
    <w:rsid w:val="00EB104F"/>
    <w:rsid w:val="00EB421D"/>
    <w:rsid w:val="00EB46E5"/>
    <w:rsid w:val="00EC1193"/>
    <w:rsid w:val="00EC53D5"/>
    <w:rsid w:val="00EC5BE0"/>
    <w:rsid w:val="00ED14BD"/>
    <w:rsid w:val="00ED29F1"/>
    <w:rsid w:val="00EE570C"/>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2927"/>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BC3ACC"/>
    <w:pPr>
      <w:numPr>
        <w:numId w:val="16"/>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872C00"/>
  </w:style>
  <w:style w:type="character" w:styleId="Nevyeenzmnka">
    <w:name w:val="Unresolved Mention"/>
    <w:basedOn w:val="Standardnpsmoodstavce"/>
    <w:uiPriority w:val="99"/>
    <w:semiHidden/>
    <w:unhideWhenUsed/>
    <w:rsid w:val="00EE570C"/>
    <w:rPr>
      <w:color w:val="605E5C"/>
      <w:shd w:val="clear" w:color="auto" w:fill="E1DFDD"/>
    </w:rPr>
  </w:style>
  <w:style w:type="table" w:customStyle="1" w:styleId="TabulkaS-zhlav">
    <w:name w:val="_Tabulka_SŽ-záhlaví"/>
    <w:basedOn w:val="Normlntabulka"/>
    <w:uiPriority w:val="99"/>
    <w:rsid w:val="00EC5BE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1DDE1-EC41-4EDF-8935-B42E6A01A5BA}">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1</TotalTime>
  <Pages>15</Pages>
  <Words>5575</Words>
  <Characters>32898</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6</cp:revision>
  <cp:lastPrinted>2020-12-17T06:12:00Z</cp:lastPrinted>
  <dcterms:created xsi:type="dcterms:W3CDTF">2025-07-17T08:09:00Z</dcterms:created>
  <dcterms:modified xsi:type="dcterms:W3CDTF">2025-09-08T06:22:00Z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